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0607FC">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D50B4">
        <w:rPr>
          <w:rFonts w:ascii="Palatino Linotype" w:hAnsi="Palatino Linotype" w:cs="Arial"/>
          <w:b/>
        </w:rPr>
        <w:t>CUADRAGÉSIMA CUARTA</w:t>
      </w:r>
      <w:r w:rsidRPr="003E78C6">
        <w:rPr>
          <w:rFonts w:ascii="Palatino Linotype" w:hAnsi="Palatino Linotype" w:cs="Arial"/>
          <w:b/>
        </w:rPr>
        <w:t xml:space="preserve"> SESIÓN ORDINARIA, DE </w:t>
      </w:r>
      <w:r w:rsidR="008D50B4">
        <w:rPr>
          <w:rFonts w:ascii="Palatino Linotype" w:hAnsi="Palatino Linotype" w:cs="Arial"/>
          <w:b/>
        </w:rPr>
        <w:t>VEINTIOCHO</w:t>
      </w:r>
      <w:r w:rsidR="004A33ED">
        <w:rPr>
          <w:rFonts w:ascii="Palatino Linotype" w:hAnsi="Palatino Linotype" w:cs="Arial"/>
          <w:b/>
        </w:rPr>
        <w:t xml:space="preserve"> </w:t>
      </w:r>
      <w:r w:rsidR="00026BF3">
        <w:rPr>
          <w:rFonts w:ascii="Palatino Linotype" w:hAnsi="Palatino Linotype" w:cs="Arial"/>
          <w:b/>
        </w:rPr>
        <w:t xml:space="preserve">DE </w:t>
      </w:r>
      <w:r w:rsidR="008D50B4">
        <w:rPr>
          <w:rFonts w:ascii="Palatino Linotype" w:hAnsi="Palatino Linotype" w:cs="Arial"/>
          <w:b/>
        </w:rPr>
        <w:t xml:space="preserve">NOVIEMBRE </w:t>
      </w:r>
      <w:r w:rsidR="004A33ED">
        <w:rPr>
          <w:rFonts w:ascii="Palatino Linotype" w:hAnsi="Palatino Linotype" w:cs="Arial"/>
          <w:b/>
        </w:rPr>
        <w:t>DE DOS MIL DIECIOCHO</w:t>
      </w:r>
      <w:r w:rsidR="00026BF3">
        <w:rPr>
          <w:rFonts w:ascii="Palatino Linotype" w:hAnsi="Palatino Linotype" w:cs="Arial"/>
          <w:b/>
        </w:rPr>
        <w:t xml:space="preserve">, EN </w:t>
      </w:r>
      <w:r w:rsidR="004A33ED">
        <w:rPr>
          <w:rFonts w:ascii="Palatino Linotype" w:hAnsi="Palatino Linotype" w:cs="Arial"/>
          <w:b/>
        </w:rPr>
        <w:t>EL</w:t>
      </w:r>
      <w:r w:rsidRPr="003E78C6">
        <w:rPr>
          <w:rFonts w:ascii="Palatino Linotype" w:hAnsi="Palatino Linotype" w:cs="Arial"/>
          <w:b/>
        </w:rPr>
        <w:t xml:space="preserve"> RECURSO DE REVISIÓN</w:t>
      </w:r>
      <w:r w:rsidR="00026BF3">
        <w:rPr>
          <w:rFonts w:ascii="Palatino Linotype" w:hAnsi="Palatino Linotype" w:cs="Arial"/>
          <w:b/>
        </w:rPr>
        <w:t xml:space="preserve"> </w:t>
      </w:r>
      <w:r w:rsidR="008D50B4">
        <w:rPr>
          <w:rFonts w:ascii="Palatino Linotype" w:hAnsi="Palatino Linotype" w:cs="Arial"/>
          <w:b/>
          <w:bCs/>
        </w:rPr>
        <w:t>03638</w:t>
      </w:r>
      <w:r w:rsidR="004A33ED" w:rsidRPr="004A33ED">
        <w:rPr>
          <w:rFonts w:ascii="Palatino Linotype" w:hAnsi="Palatino Linotype" w:cs="Arial"/>
          <w:b/>
          <w:bCs/>
        </w:rPr>
        <w:t>/INFOEM/IP/RR/2018</w:t>
      </w:r>
      <w:r w:rsidR="00026BF3">
        <w:rPr>
          <w:rFonts w:ascii="Palatino Linotype" w:hAnsi="Palatino Linotype" w:cs="Arial"/>
          <w:b/>
          <w:bCs/>
          <w:spacing w:val="-20"/>
        </w:rPr>
        <w:t>.</w:t>
      </w:r>
    </w:p>
    <w:p w:rsidR="00C51CFE" w:rsidRPr="003E78C6"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4A33ED">
        <w:rPr>
          <w:rFonts w:ascii="Palatino Linotype" w:hAnsi="Palatino Linotype" w:cs="Arial"/>
        </w:rPr>
        <w:t xml:space="preserve">el </w:t>
      </w:r>
      <w:r w:rsidR="00026BF3">
        <w:rPr>
          <w:rFonts w:ascii="Palatino Linotype" w:hAnsi="Palatino Linotype" w:cs="Arial"/>
        </w:rPr>
        <w:t xml:space="preserve">recurso </w:t>
      </w:r>
      <w:r w:rsidRPr="003E78C6">
        <w:rPr>
          <w:rFonts w:ascii="Palatino Linotype" w:hAnsi="Palatino Linotype" w:cs="Arial"/>
        </w:rPr>
        <w:t>de revisión</w:t>
      </w:r>
      <w:r w:rsidR="00026BF3">
        <w:rPr>
          <w:rFonts w:ascii="Palatino Linotype" w:hAnsi="Palatino Linotype" w:cs="Arial"/>
        </w:rPr>
        <w:t xml:space="preserve"> </w:t>
      </w:r>
      <w:r w:rsidR="008D50B4">
        <w:rPr>
          <w:rFonts w:ascii="Palatino Linotype" w:hAnsi="Palatino Linotype" w:cs="Arial"/>
          <w:b/>
          <w:bCs/>
        </w:rPr>
        <w:t>03638</w:t>
      </w:r>
      <w:r w:rsidR="004A33ED">
        <w:rPr>
          <w:rFonts w:ascii="Palatino Linotype" w:hAnsi="Palatino Linotype" w:cs="Arial"/>
          <w:b/>
          <w:bCs/>
        </w:rPr>
        <w:t>/INFOEM/IP/RR/2018</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el Comisionado</w:t>
      </w:r>
      <w:r>
        <w:rPr>
          <w:rFonts w:ascii="Palatino Linotype" w:hAnsi="Palatino Linotype" w:cs="Arial"/>
        </w:rPr>
        <w:t xml:space="preserve"> </w:t>
      </w:r>
      <w:r w:rsidR="004A33ED">
        <w:rPr>
          <w:rFonts w:ascii="Palatino Linotype" w:hAnsi="Palatino Linotype" w:cs="Arial"/>
          <w:b/>
          <w:lang w:val="es-MX"/>
        </w:rPr>
        <w:t>JOSÉ GUADALUPE LUNA HERNÁNDEZ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0607FC">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026BF3"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8D50B4">
        <w:rPr>
          <w:rFonts w:ascii="Palatino Linotype" w:hAnsi="Palatino Linotype"/>
        </w:rPr>
        <w:t>el</w:t>
      </w:r>
      <w:r w:rsidRPr="003E78C6">
        <w:rPr>
          <w:rFonts w:ascii="Palatino Linotype" w:hAnsi="Palatino Linotype"/>
        </w:rPr>
        <w:t xml:space="preserve"> particular requirió del</w:t>
      </w:r>
      <w:r w:rsidR="004A33ED">
        <w:rPr>
          <w:rFonts w:ascii="Palatino Linotype" w:hAnsi="Palatino Linotype"/>
        </w:rPr>
        <w:t xml:space="preserve"> </w:t>
      </w:r>
      <w:r w:rsidR="008D50B4" w:rsidRPr="008D50B4">
        <w:rPr>
          <w:rFonts w:ascii="Palatino Linotype" w:hAnsi="Palatino Linotype"/>
          <w:b/>
        </w:rPr>
        <w:t>Ayuntamiento de Atizapán de Zaragoza</w:t>
      </w:r>
      <w:r w:rsidR="008D50B4">
        <w:rPr>
          <w:rFonts w:ascii="Palatino Linotype" w:hAnsi="Palatino Linotype"/>
        </w:rPr>
        <w:t xml:space="preserve"> </w:t>
      </w:r>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Pr="007949C3">
        <w:rPr>
          <w:rFonts w:ascii="Palatino Linotype" w:hAnsi="Palatino Linotype" w:cs="Arial"/>
        </w:rPr>
        <w:t xml:space="preserve">en </w:t>
      </w:r>
      <w:r w:rsidR="004A33ED" w:rsidRPr="007949C3">
        <w:rPr>
          <w:rFonts w:ascii="Palatino Linotype" w:hAnsi="Palatino Linotype" w:cs="Arial"/>
        </w:rPr>
        <w:t xml:space="preserve">vía </w:t>
      </w:r>
      <w:r w:rsidR="008D50B4" w:rsidRPr="007949C3">
        <w:rPr>
          <w:rFonts w:ascii="Palatino Linotype" w:hAnsi="Palatino Linotype" w:cs="Arial"/>
        </w:rPr>
        <w:t xml:space="preserve">copias simples con costo, en copias certificadas y </w:t>
      </w:r>
      <w:r w:rsidR="007949C3">
        <w:rPr>
          <w:rFonts w:ascii="Palatino Linotype" w:hAnsi="Palatino Linotype" w:cs="Arial"/>
        </w:rPr>
        <w:t xml:space="preserve">a través </w:t>
      </w:r>
      <w:r w:rsidR="007949C3">
        <w:rPr>
          <w:rFonts w:ascii="Palatino Linotype" w:hAnsi="Palatino Linotype" w:cs="Arial"/>
        </w:rPr>
        <w:lastRenderedPageBreak/>
        <w:t xml:space="preserve">de </w:t>
      </w:r>
      <w:r w:rsidR="008D50B4" w:rsidRPr="007949C3">
        <w:rPr>
          <w:rFonts w:ascii="Palatino Linotype" w:hAnsi="Palatino Linotype" w:cs="Arial"/>
        </w:rPr>
        <w:t>correo electrónico</w:t>
      </w:r>
      <w:r w:rsidRPr="00D22F3A">
        <w:rPr>
          <w:rFonts w:ascii="Palatino Linotype" w:hAnsi="Palatino Linotype" w:cs="Arial"/>
        </w:rPr>
        <w:t xml:space="preserve">, </w:t>
      </w:r>
      <w:r w:rsidR="007949C3">
        <w:rPr>
          <w:rFonts w:ascii="Palatino Linotype" w:hAnsi="Palatino Linotype" w:cs="Arial"/>
        </w:rPr>
        <w:t xml:space="preserve">respecto del </w:t>
      </w:r>
      <w:r w:rsidR="008D50B4" w:rsidRPr="00C9554A">
        <w:rPr>
          <w:rFonts w:ascii="Palatino Linotype" w:eastAsia="Calibri" w:hAnsi="Palatino Linotype" w:cs="Arial"/>
        </w:rPr>
        <w:t>Centro de Bachillerato Tecnológico No 2, los trámites o gestiones de lo siguiente:</w:t>
      </w:r>
    </w:p>
    <w:p w:rsidR="008D50B4" w:rsidRDefault="009C4ACD" w:rsidP="000607FC">
      <w:pPr>
        <w:ind w:left="851" w:right="902"/>
        <w:mirrorIndents/>
        <w:jc w:val="both"/>
        <w:rPr>
          <w:rFonts w:ascii="Palatino Linotype" w:hAnsi="Palatino Linotype"/>
          <w:i/>
          <w:sz w:val="22"/>
          <w:szCs w:val="22"/>
        </w:rPr>
      </w:pPr>
      <w:r>
        <w:rPr>
          <w:rFonts w:ascii="Palatino Linotype" w:hAnsi="Palatino Linotype"/>
          <w:i/>
          <w:sz w:val="22"/>
          <w:szCs w:val="22"/>
        </w:rPr>
        <w:t xml:space="preserve">a) </w:t>
      </w:r>
      <w:r w:rsidR="008D50B4" w:rsidRPr="008D50B4">
        <w:rPr>
          <w:rFonts w:ascii="Palatino Linotype" w:hAnsi="Palatino Linotype"/>
          <w:i/>
          <w:sz w:val="22"/>
          <w:szCs w:val="22"/>
        </w:rPr>
        <w:t xml:space="preserve">Si el Ayuntamiento de Atizapán de Zaragoza, realizó trámites o gestiones, para obtener a su favor el traslado de dominio y/o desincorporación del ejido que actualmente ocupa la escuela descrita.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b)</w:t>
      </w:r>
      <w:r w:rsidRPr="008D50B4">
        <w:rPr>
          <w:rFonts w:ascii="Palatino Linotype" w:hAnsi="Palatino Linotype"/>
          <w:i/>
          <w:sz w:val="22"/>
          <w:szCs w:val="22"/>
        </w:rPr>
        <w:tab/>
        <w:t xml:space="preserve">Si el citado Ayuntamiento realizó trámites o gestiones, para que se le autorizara la posesión, uso o goce sobre el ejido que actualmente ocupa la referida </w:t>
      </w:r>
      <w:proofErr w:type="gramStart"/>
      <w:r w:rsidRPr="008D50B4">
        <w:rPr>
          <w:rFonts w:ascii="Palatino Linotype" w:hAnsi="Palatino Linotype"/>
          <w:i/>
          <w:sz w:val="22"/>
          <w:szCs w:val="22"/>
        </w:rPr>
        <w:t>escuela</w:t>
      </w:r>
      <w:proofErr w:type="gramEnd"/>
      <w:r w:rsidRPr="008D50B4">
        <w:rPr>
          <w:rFonts w:ascii="Palatino Linotype" w:hAnsi="Palatino Linotype"/>
          <w:i/>
          <w:sz w:val="22"/>
          <w:szCs w:val="22"/>
        </w:rPr>
        <w:t xml:space="preserve">. </w:t>
      </w:r>
    </w:p>
    <w:p w:rsidR="008D50B4" w:rsidRDefault="009C4ACD" w:rsidP="000607FC">
      <w:pPr>
        <w:ind w:left="851" w:right="902"/>
        <w:mirrorIndents/>
        <w:jc w:val="both"/>
        <w:rPr>
          <w:rFonts w:ascii="Palatino Linotype" w:hAnsi="Palatino Linotype"/>
          <w:i/>
          <w:sz w:val="22"/>
          <w:szCs w:val="22"/>
        </w:rPr>
      </w:pPr>
      <w:r>
        <w:rPr>
          <w:rFonts w:ascii="Palatino Linotype" w:hAnsi="Palatino Linotype"/>
          <w:i/>
          <w:sz w:val="22"/>
          <w:szCs w:val="22"/>
        </w:rPr>
        <w:t xml:space="preserve">c) </w:t>
      </w:r>
      <w:r w:rsidR="008D50B4" w:rsidRPr="008D50B4">
        <w:rPr>
          <w:rFonts w:ascii="Palatino Linotype" w:hAnsi="Palatino Linotype"/>
          <w:i/>
          <w:sz w:val="22"/>
          <w:szCs w:val="22"/>
        </w:rPr>
        <w:t xml:space="preserve">Si el referido Ayuntamiento cuenta con alguna clase autorización para ocupar dicha propiedad. </w:t>
      </w:r>
    </w:p>
    <w:p w:rsidR="008D50B4" w:rsidRDefault="009C4ACD" w:rsidP="000607FC">
      <w:pPr>
        <w:ind w:left="851" w:right="902"/>
        <w:mirrorIndents/>
        <w:jc w:val="both"/>
        <w:rPr>
          <w:rFonts w:ascii="Palatino Linotype" w:hAnsi="Palatino Linotype"/>
          <w:i/>
          <w:sz w:val="22"/>
          <w:szCs w:val="22"/>
        </w:rPr>
      </w:pPr>
      <w:r>
        <w:rPr>
          <w:rFonts w:ascii="Palatino Linotype" w:hAnsi="Palatino Linotype"/>
          <w:i/>
          <w:sz w:val="22"/>
          <w:szCs w:val="22"/>
        </w:rPr>
        <w:t xml:space="preserve">d) </w:t>
      </w:r>
      <w:r w:rsidR="008D50B4" w:rsidRPr="008D50B4">
        <w:rPr>
          <w:rFonts w:ascii="Palatino Linotype" w:hAnsi="Palatino Linotype"/>
          <w:i/>
          <w:sz w:val="22"/>
          <w:szCs w:val="22"/>
        </w:rPr>
        <w:t xml:space="preserve">Si el Ayuntamiento, realizó trámites o gestiones para la edificación del citado Centro Escolar, con recursos municipales, estatales o federales. </w:t>
      </w:r>
    </w:p>
    <w:p w:rsidR="008D50B4" w:rsidRDefault="009C4ACD" w:rsidP="000607FC">
      <w:pPr>
        <w:ind w:left="851" w:right="902"/>
        <w:mirrorIndents/>
        <w:jc w:val="both"/>
        <w:rPr>
          <w:rFonts w:ascii="Palatino Linotype" w:hAnsi="Palatino Linotype"/>
          <w:i/>
          <w:sz w:val="22"/>
          <w:szCs w:val="22"/>
        </w:rPr>
      </w:pPr>
      <w:r>
        <w:rPr>
          <w:rFonts w:ascii="Palatino Linotype" w:hAnsi="Palatino Linotype"/>
          <w:i/>
          <w:sz w:val="22"/>
          <w:szCs w:val="22"/>
        </w:rPr>
        <w:t xml:space="preserve">e) </w:t>
      </w:r>
      <w:r w:rsidR="008D50B4" w:rsidRPr="008D50B4">
        <w:rPr>
          <w:rFonts w:ascii="Palatino Linotype" w:hAnsi="Palatino Linotype"/>
          <w:i/>
          <w:sz w:val="22"/>
          <w:szCs w:val="22"/>
        </w:rPr>
        <w:t xml:space="preserve">Si el Ayuntamiento y/o Unidades Administrativas que usted dirige, emitió, gestiono, participó o colaboró, de alguna forma, en la expedición de algunos de los siguientes documentos: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1.</w:t>
      </w:r>
      <w:r w:rsidRPr="008D50B4">
        <w:rPr>
          <w:rFonts w:ascii="Palatino Linotype" w:hAnsi="Palatino Linotype"/>
          <w:i/>
          <w:sz w:val="22"/>
          <w:szCs w:val="22"/>
        </w:rPr>
        <w:tab/>
        <w:t xml:space="preserve">El Dictamen de existencia y/o factibilidad de dotación de agua potable, drenaje y alcantarillado, con capacidad suficiente para la aprobación pretendida.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2.</w:t>
      </w:r>
      <w:r w:rsidRPr="008D50B4">
        <w:rPr>
          <w:rFonts w:ascii="Palatino Linotype" w:hAnsi="Palatino Linotype"/>
          <w:i/>
          <w:sz w:val="22"/>
          <w:szCs w:val="22"/>
        </w:rPr>
        <w:tab/>
        <w:t xml:space="preserve">Dictamen Técnico emitido por la Secretaría del Medio Ambiente.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3.</w:t>
      </w:r>
      <w:r w:rsidRPr="008D50B4">
        <w:rPr>
          <w:rFonts w:ascii="Palatino Linotype" w:hAnsi="Palatino Linotype"/>
          <w:i/>
          <w:sz w:val="22"/>
          <w:szCs w:val="22"/>
        </w:rPr>
        <w:tab/>
        <w:t xml:space="preserve">La cedula informativa de zonificación.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4.</w:t>
      </w:r>
      <w:r w:rsidRPr="008D50B4">
        <w:rPr>
          <w:rFonts w:ascii="Palatino Linotype" w:hAnsi="Palatino Linotype"/>
          <w:i/>
          <w:sz w:val="22"/>
          <w:szCs w:val="22"/>
        </w:rPr>
        <w:tab/>
        <w:t xml:space="preserve">La Licencia de uso de suelo.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5.</w:t>
      </w:r>
      <w:r w:rsidRPr="008D50B4">
        <w:rPr>
          <w:rFonts w:ascii="Palatino Linotype" w:hAnsi="Palatino Linotype"/>
          <w:i/>
          <w:sz w:val="22"/>
          <w:szCs w:val="22"/>
        </w:rPr>
        <w:tab/>
        <w:t xml:space="preserve">Dictamen único de factibilidad.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6.</w:t>
      </w:r>
      <w:r w:rsidRPr="008D50B4">
        <w:rPr>
          <w:rFonts w:ascii="Palatino Linotype" w:hAnsi="Palatino Linotype"/>
          <w:i/>
          <w:sz w:val="22"/>
          <w:szCs w:val="22"/>
        </w:rPr>
        <w:tab/>
        <w:t xml:space="preserve">Licencia de cambio de uso y aprovechamiento de suelo.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7.</w:t>
      </w:r>
      <w:r w:rsidRPr="008D50B4">
        <w:rPr>
          <w:rFonts w:ascii="Palatino Linotype" w:hAnsi="Palatino Linotype"/>
          <w:i/>
          <w:sz w:val="22"/>
          <w:szCs w:val="22"/>
        </w:rPr>
        <w:tab/>
        <w:t xml:space="preserve">La Fusión o división del suelo.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 xml:space="preserve">8. Autorización de impacto urbano.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9.</w:t>
      </w:r>
      <w:r w:rsidRPr="008D50B4">
        <w:rPr>
          <w:rFonts w:ascii="Palatino Linotype" w:hAnsi="Palatino Linotype"/>
          <w:i/>
          <w:sz w:val="22"/>
          <w:szCs w:val="22"/>
        </w:rPr>
        <w:tab/>
        <w:t xml:space="preserve">Autorización de construcción y edificación.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10.</w:t>
      </w:r>
      <w:r w:rsidRPr="008D50B4">
        <w:rPr>
          <w:rFonts w:ascii="Palatino Linotype" w:hAnsi="Palatino Linotype"/>
          <w:i/>
          <w:sz w:val="22"/>
          <w:szCs w:val="22"/>
        </w:rPr>
        <w:tab/>
        <w:t xml:space="preserve">El traslado de dominio.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11.</w:t>
      </w:r>
      <w:r w:rsidRPr="008D50B4">
        <w:rPr>
          <w:rFonts w:ascii="Palatino Linotype" w:hAnsi="Palatino Linotype"/>
          <w:i/>
          <w:sz w:val="22"/>
          <w:szCs w:val="22"/>
        </w:rPr>
        <w:tab/>
        <w:t xml:space="preserve">El Acta de asamblea (ejidal) en la cual se establece la conformidad para llevar a cabo el trámite y su protocolización ante Notario Público.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12.</w:t>
      </w:r>
      <w:r w:rsidRPr="008D50B4">
        <w:rPr>
          <w:rFonts w:ascii="Palatino Linotype" w:hAnsi="Palatino Linotype"/>
          <w:i/>
          <w:sz w:val="22"/>
          <w:szCs w:val="22"/>
        </w:rPr>
        <w:tab/>
        <w:t xml:space="preserve">El Decreto Presidencial de dotación de terrenos ejidales o comunales, que refiera la zona urbana ejidal o de expropiación inscrito en el Registro Agrario Nacional. </w:t>
      </w:r>
    </w:p>
    <w:p w:rsidR="008D50B4"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t>13.</w:t>
      </w:r>
      <w:r w:rsidRPr="008D50B4">
        <w:rPr>
          <w:rFonts w:ascii="Palatino Linotype" w:hAnsi="Palatino Linotype"/>
          <w:i/>
          <w:sz w:val="22"/>
          <w:szCs w:val="22"/>
        </w:rPr>
        <w:tab/>
        <w:t xml:space="preserve">El Plano general del ejido o comunidad, inscrito en el Registro Agrario Nacional. </w:t>
      </w:r>
    </w:p>
    <w:p w:rsidR="00026BF3" w:rsidRDefault="008D50B4" w:rsidP="000607FC">
      <w:pPr>
        <w:ind w:left="851" w:right="902"/>
        <w:mirrorIndents/>
        <w:jc w:val="both"/>
        <w:rPr>
          <w:rFonts w:ascii="Palatino Linotype" w:hAnsi="Palatino Linotype"/>
          <w:i/>
          <w:sz w:val="22"/>
          <w:szCs w:val="22"/>
        </w:rPr>
      </w:pPr>
      <w:r w:rsidRPr="008D50B4">
        <w:rPr>
          <w:rFonts w:ascii="Palatino Linotype" w:hAnsi="Palatino Linotype"/>
          <w:i/>
          <w:sz w:val="22"/>
          <w:szCs w:val="22"/>
        </w:rPr>
        <w:lastRenderedPageBreak/>
        <w:t>14.</w:t>
      </w:r>
      <w:r w:rsidRPr="008D50B4">
        <w:rPr>
          <w:rFonts w:ascii="Palatino Linotype" w:hAnsi="Palatino Linotype"/>
          <w:i/>
          <w:sz w:val="22"/>
          <w:szCs w:val="22"/>
        </w:rPr>
        <w:tab/>
        <w:t>El Plano de la propuesta de lotificación. Esta información se requiere certificada y en medio electrónico, al correo señalado; de no ser posible en copia simple, que recogeré en su domicilio oficial, del cual solicito proporcione su ubicación.</w:t>
      </w:r>
      <w:r w:rsidR="004A33ED">
        <w:rPr>
          <w:rFonts w:ascii="Palatino Linotype" w:hAnsi="Palatino Linotype"/>
          <w:i/>
          <w:sz w:val="22"/>
          <w:szCs w:val="22"/>
        </w:rPr>
        <w:t xml:space="preserve"> (Sic)</w:t>
      </w:r>
    </w:p>
    <w:p w:rsidR="009C4ACD"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Al respecto, </w:t>
      </w:r>
      <w:r w:rsidRPr="003E78C6">
        <w:rPr>
          <w:rFonts w:ascii="Palatino Linotype" w:hAnsi="Palatino Linotype" w:cs="Arial"/>
          <w:b/>
        </w:rPr>
        <w:t xml:space="preserve">EL </w:t>
      </w:r>
      <w:r w:rsidRPr="003E78C6">
        <w:rPr>
          <w:rFonts w:ascii="Palatino Linotype" w:hAnsi="Palatino Linotype" w:cs="Arial"/>
          <w:b/>
          <w:lang w:val="es-ES_tradnl"/>
        </w:rPr>
        <w:t>SUJETO OBLIGADO</w:t>
      </w:r>
      <w:r w:rsidRPr="003E78C6">
        <w:rPr>
          <w:rFonts w:ascii="Palatino Linotype" w:hAnsi="Palatino Linotype" w:cs="Arial"/>
          <w:b/>
          <w:i/>
          <w:lang w:val="es-ES_tradnl"/>
        </w:rPr>
        <w:t xml:space="preserve"> </w:t>
      </w:r>
      <w:r w:rsidRPr="003E78C6">
        <w:rPr>
          <w:rFonts w:ascii="Palatino Linotype" w:hAnsi="Palatino Linotype" w:cs="Arial"/>
        </w:rPr>
        <w:t>en respuest</w:t>
      </w:r>
      <w:r>
        <w:rPr>
          <w:rFonts w:ascii="Palatino Linotype" w:hAnsi="Palatino Linotype" w:cs="Arial"/>
        </w:rPr>
        <w:t>a a la solicitud</w:t>
      </w:r>
      <w:r w:rsidR="00026BF3">
        <w:rPr>
          <w:rFonts w:ascii="Palatino Linotype" w:hAnsi="Palatino Linotype" w:cs="Arial"/>
        </w:rPr>
        <w:t xml:space="preserve"> </w:t>
      </w:r>
      <w:r>
        <w:rPr>
          <w:rFonts w:ascii="Palatino Linotype" w:hAnsi="Palatino Linotype" w:cs="Arial"/>
        </w:rPr>
        <w:t xml:space="preserve">de información manifestó </w:t>
      </w:r>
      <w:r w:rsidR="00F3670B">
        <w:rPr>
          <w:rFonts w:ascii="Palatino Linotype" w:hAnsi="Palatino Linotype" w:cs="Arial"/>
        </w:rPr>
        <w:t xml:space="preserve">que </w:t>
      </w:r>
      <w:r w:rsidR="009C4ACD">
        <w:rPr>
          <w:rFonts w:ascii="Palatino Linotype" w:hAnsi="Palatino Linotype" w:cs="Arial"/>
        </w:rPr>
        <w:t>la mayoría de la información no e</w:t>
      </w:r>
      <w:r w:rsidR="007949C3">
        <w:rPr>
          <w:rFonts w:ascii="Palatino Linotype" w:hAnsi="Palatino Linotype" w:cs="Arial"/>
        </w:rPr>
        <w:t>ra</w:t>
      </w:r>
      <w:r w:rsidR="009C4ACD">
        <w:rPr>
          <w:rFonts w:ascii="Palatino Linotype" w:hAnsi="Palatino Linotype" w:cs="Arial"/>
        </w:rPr>
        <w:t xml:space="preserve"> de su competencia, </w:t>
      </w:r>
      <w:r w:rsidR="007949C3">
        <w:rPr>
          <w:rFonts w:ascii="Palatino Linotype" w:hAnsi="Palatino Linotype" w:cs="Arial"/>
        </w:rPr>
        <w:t>ya que ú</w:t>
      </w:r>
      <w:r w:rsidR="009C4ACD">
        <w:rPr>
          <w:rFonts w:ascii="Palatino Linotype" w:hAnsi="Palatino Linotype" w:cs="Arial"/>
        </w:rPr>
        <w:t xml:space="preserve">nicamente se </w:t>
      </w:r>
      <w:r w:rsidR="007949C3">
        <w:rPr>
          <w:rFonts w:ascii="Palatino Linotype" w:hAnsi="Palatino Linotype" w:cs="Arial"/>
        </w:rPr>
        <w:t>contaba</w:t>
      </w:r>
      <w:r w:rsidR="009C4ACD">
        <w:rPr>
          <w:rFonts w:ascii="Palatino Linotype" w:hAnsi="Palatino Linotype" w:cs="Arial"/>
        </w:rPr>
        <w:t xml:space="preserve"> con una Acta de Asamblea General Extraordinaria de Ejidatarios de fecha 8 de octubre de 1999, en donde se solicitó a dicha asamblea la autorización para la enajenación de una parcela para celebrar convenios con quien mejor le convenía; asimismo manifestó que </w:t>
      </w:r>
      <w:r w:rsidR="007949C3">
        <w:rPr>
          <w:rFonts w:ascii="Palatino Linotype" w:hAnsi="Palatino Linotype" w:cs="Arial"/>
        </w:rPr>
        <w:t xml:space="preserve">poseía </w:t>
      </w:r>
      <w:r w:rsidR="009C4ACD">
        <w:rPr>
          <w:rFonts w:ascii="Palatino Linotype" w:hAnsi="Palatino Linotype" w:cs="Arial"/>
        </w:rPr>
        <w:t xml:space="preserve">el Acta de Entrega-Recepción de Posesión de fecha 9 de mayo del año 2000, firmada por el Ejidatario, el Comisariado Ejidal y personal del Ayuntamiento. </w:t>
      </w:r>
    </w:p>
    <w:p w:rsidR="00C51CFE" w:rsidRPr="003E78C6"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Inconforme con la respuesta anterior, </w:t>
      </w:r>
      <w:r w:rsidR="009C4ACD">
        <w:rPr>
          <w:rFonts w:ascii="Palatino Linotype" w:hAnsi="Palatino Linotype"/>
          <w:b/>
        </w:rPr>
        <w:t>E</w:t>
      </w:r>
      <w:r w:rsidRPr="003E78C6">
        <w:rPr>
          <w:rFonts w:ascii="Palatino Linotype" w:hAnsi="Palatino Linotype"/>
          <w:b/>
        </w:rPr>
        <w:t>L RECURRENTE</w:t>
      </w:r>
      <w:r w:rsidRPr="003E78C6">
        <w:rPr>
          <w:rFonts w:ascii="Palatino Linotype" w:hAnsi="Palatino Linotype"/>
        </w:rPr>
        <w:t xml:space="preserve"> interpuso </w:t>
      </w:r>
      <w:r w:rsidR="00353D78">
        <w:rPr>
          <w:rFonts w:ascii="Palatino Linotype" w:hAnsi="Palatino Linotype"/>
        </w:rPr>
        <w:t xml:space="preserve">el </w:t>
      </w:r>
      <w:r w:rsidRPr="003E78C6">
        <w:rPr>
          <w:rFonts w:ascii="Palatino Linotype" w:hAnsi="Palatino Linotype"/>
        </w:rPr>
        <w:t xml:space="preserve">recurso de revisión, </w:t>
      </w:r>
      <w:r>
        <w:rPr>
          <w:rFonts w:ascii="Palatino Linotype" w:hAnsi="Palatino Linotype"/>
        </w:rPr>
        <w:t>de mérito.</w:t>
      </w:r>
    </w:p>
    <w:p w:rsidR="000C5248" w:rsidRDefault="00C51CFE" w:rsidP="009C4ACD">
      <w:pPr>
        <w:spacing w:before="100" w:beforeAutospacing="1" w:after="100" w:afterAutospacing="1" w:line="360" w:lineRule="auto"/>
        <w:mirrorIndents/>
        <w:jc w:val="both"/>
        <w:rPr>
          <w:rFonts w:ascii="Palatino Linotype" w:hAnsi="Palatino Linotype"/>
          <w:color w:val="000000"/>
        </w:rPr>
      </w:pPr>
      <w:r w:rsidRPr="003E78C6">
        <w:rPr>
          <w:rFonts w:ascii="Palatino Linotype" w:hAnsi="Palatino Linotype"/>
        </w:rPr>
        <w:t xml:space="preserve">Bajo ese contexto, la Ponencia </w:t>
      </w:r>
      <w:proofErr w:type="spellStart"/>
      <w:r w:rsidRPr="003E78C6">
        <w:rPr>
          <w:rFonts w:ascii="Palatino Linotype" w:hAnsi="Palatino Linotype"/>
        </w:rPr>
        <w:t>Resolutora</w:t>
      </w:r>
      <w:proofErr w:type="spellEnd"/>
      <w:r>
        <w:rPr>
          <w:rFonts w:ascii="Palatino Linotype" w:hAnsi="Palatino Linotype"/>
        </w:rPr>
        <w:t xml:space="preserve"> determinó</w:t>
      </w:r>
      <w:r w:rsidRPr="003E78C6">
        <w:rPr>
          <w:rFonts w:ascii="Palatino Linotype" w:hAnsi="Palatino Linotype"/>
        </w:rPr>
        <w:t xml:space="preserve"> </w:t>
      </w:r>
      <w:r w:rsidR="009C4ACD">
        <w:rPr>
          <w:rFonts w:ascii="Palatino Linotype" w:hAnsi="Palatino Linotype"/>
          <w:b/>
          <w:color w:val="000000"/>
        </w:rPr>
        <w:t>MODIFICAR</w:t>
      </w:r>
      <w:r w:rsidRPr="003E78C6">
        <w:rPr>
          <w:rFonts w:ascii="Palatino Linotype" w:hAnsi="Palatino Linotype"/>
          <w:color w:val="000000"/>
        </w:rPr>
        <w:t xml:space="preserve"> la</w:t>
      </w:r>
      <w:r w:rsidR="0069535B">
        <w:rPr>
          <w:rFonts w:ascii="Palatino Linotype" w:hAnsi="Palatino Linotype"/>
          <w:color w:val="000000"/>
        </w:rPr>
        <w:t xml:space="preserve"> </w:t>
      </w:r>
      <w:r w:rsidRPr="003E78C6">
        <w:rPr>
          <w:rFonts w:ascii="Palatino Linotype" w:hAnsi="Palatino Linotype"/>
          <w:color w:val="000000"/>
        </w:rPr>
        <w:t xml:space="preserve">respuesta del </w:t>
      </w:r>
      <w:r w:rsidRPr="003E78C6">
        <w:rPr>
          <w:rFonts w:ascii="Palatino Linotype" w:hAnsi="Palatino Linotype"/>
          <w:b/>
          <w:color w:val="000000"/>
        </w:rPr>
        <w:t>SUJETO OBLIGADO</w:t>
      </w:r>
      <w:r w:rsidRPr="003E78C6">
        <w:rPr>
          <w:rFonts w:ascii="Palatino Linotype" w:hAnsi="Palatino Linotype"/>
          <w:color w:val="000000"/>
        </w:rPr>
        <w:t>, a efecto de ordenar</w:t>
      </w:r>
      <w:r w:rsidR="007949C3">
        <w:rPr>
          <w:rFonts w:ascii="Palatino Linotype" w:hAnsi="Palatino Linotype"/>
          <w:color w:val="000000"/>
        </w:rPr>
        <w:t xml:space="preserve"> la entrega</w:t>
      </w:r>
      <w:r w:rsidRPr="003E78C6">
        <w:rPr>
          <w:rFonts w:ascii="Palatino Linotype" w:hAnsi="Palatino Linotype"/>
          <w:color w:val="000000"/>
        </w:rPr>
        <w:t xml:space="preserve"> </w:t>
      </w:r>
      <w:r w:rsidR="00CC6AAE">
        <w:rPr>
          <w:rFonts w:ascii="Palatino Linotype" w:hAnsi="Palatino Linotype"/>
          <w:color w:val="000000"/>
        </w:rPr>
        <w:t xml:space="preserve">vía </w:t>
      </w:r>
      <w:r w:rsidR="00CC6AAE" w:rsidRPr="007949C3">
        <w:rPr>
          <w:rFonts w:ascii="Palatino Linotype" w:hAnsi="Palatino Linotype"/>
          <w:b/>
          <w:color w:val="000000"/>
        </w:rPr>
        <w:t>c</w:t>
      </w:r>
      <w:r w:rsidR="009C4ACD">
        <w:rPr>
          <w:rFonts w:ascii="Palatino Linotype" w:hAnsi="Palatino Linotype"/>
          <w:b/>
          <w:color w:val="000000"/>
        </w:rPr>
        <w:t>opias simple</w:t>
      </w:r>
      <w:r w:rsidR="00CC6AAE" w:rsidRPr="00CC6AAE">
        <w:rPr>
          <w:rFonts w:ascii="Palatino Linotype" w:hAnsi="Palatino Linotype"/>
          <w:b/>
          <w:color w:val="000000"/>
        </w:rPr>
        <w:t>s sin costo</w:t>
      </w:r>
      <w:r w:rsidR="009C4ACD">
        <w:rPr>
          <w:rFonts w:ascii="Palatino Linotype" w:hAnsi="Palatino Linotype"/>
          <w:b/>
          <w:color w:val="000000"/>
        </w:rPr>
        <w:t xml:space="preserve">, </w:t>
      </w:r>
      <w:r w:rsidR="009C4ACD">
        <w:rPr>
          <w:rFonts w:ascii="Palatino Linotype" w:hAnsi="Palatino Linotype"/>
          <w:color w:val="000000"/>
        </w:rPr>
        <w:t xml:space="preserve">en versión pública, </w:t>
      </w:r>
      <w:r w:rsidR="007949C3">
        <w:rPr>
          <w:rFonts w:ascii="Palatino Linotype" w:hAnsi="Palatino Linotype"/>
          <w:color w:val="000000"/>
        </w:rPr>
        <w:t xml:space="preserve">de </w:t>
      </w:r>
      <w:r w:rsidR="009C4ACD">
        <w:rPr>
          <w:rFonts w:ascii="Palatino Linotype" w:hAnsi="Palatino Linotype"/>
          <w:color w:val="000000"/>
        </w:rPr>
        <w:t xml:space="preserve">la siguiente información: </w:t>
      </w:r>
    </w:p>
    <w:p w:rsidR="000C5248" w:rsidRPr="000C5248" w:rsidRDefault="000C5248" w:rsidP="000C5248">
      <w:pPr>
        <w:ind w:left="851" w:right="902"/>
        <w:jc w:val="both"/>
        <w:rPr>
          <w:rFonts w:ascii="Palatino Linotype" w:hAnsi="Palatino Linotype"/>
          <w:i/>
          <w:sz w:val="22"/>
          <w:szCs w:val="22"/>
          <w:lang w:val="es-MX" w:eastAsia="es-MX"/>
        </w:rPr>
      </w:pPr>
      <w:r w:rsidRPr="000C5248">
        <w:rPr>
          <w:rFonts w:ascii="Palatino Linotype" w:hAnsi="Palatino Linotype"/>
          <w:i/>
          <w:sz w:val="22"/>
          <w:szCs w:val="22"/>
          <w:lang w:val="es-MX" w:eastAsia="es-MX"/>
        </w:rPr>
        <w:t>a)</w:t>
      </w:r>
      <w:r w:rsidRPr="000C5248">
        <w:rPr>
          <w:rFonts w:ascii="Palatino Linotype" w:hAnsi="Palatino Linotype"/>
          <w:i/>
          <w:sz w:val="22"/>
          <w:szCs w:val="22"/>
          <w:lang w:val="es-MX" w:eastAsia="es-MX"/>
        </w:rPr>
        <w:tab/>
        <w:t>Acta de Asamblea General Extraordinaria de Ejidatarios de fecha 08 de octubre de 1999;</w:t>
      </w:r>
    </w:p>
    <w:p w:rsidR="000C5248" w:rsidRPr="000C5248" w:rsidRDefault="000C5248" w:rsidP="000C5248">
      <w:pPr>
        <w:ind w:left="851" w:right="902"/>
        <w:jc w:val="both"/>
        <w:rPr>
          <w:rFonts w:ascii="Palatino Linotype" w:hAnsi="Palatino Linotype"/>
          <w:i/>
          <w:sz w:val="22"/>
          <w:szCs w:val="22"/>
          <w:lang w:val="es-MX" w:eastAsia="es-MX"/>
        </w:rPr>
      </w:pPr>
      <w:r w:rsidRPr="000C5248">
        <w:rPr>
          <w:rFonts w:ascii="Palatino Linotype" w:hAnsi="Palatino Linotype"/>
          <w:i/>
          <w:sz w:val="22"/>
          <w:szCs w:val="22"/>
          <w:lang w:val="es-MX" w:eastAsia="es-MX"/>
        </w:rPr>
        <w:t>b)</w:t>
      </w:r>
      <w:r w:rsidRPr="000C5248">
        <w:rPr>
          <w:rFonts w:ascii="Palatino Linotype" w:hAnsi="Palatino Linotype"/>
          <w:i/>
          <w:sz w:val="22"/>
          <w:szCs w:val="22"/>
          <w:lang w:val="es-MX" w:eastAsia="es-MX"/>
        </w:rPr>
        <w:tab/>
        <w:t xml:space="preserve">Acta de Entrega-Recepción de Posesión de fecha 09 de mayo del año 2000; y, </w:t>
      </w:r>
    </w:p>
    <w:p w:rsidR="000C5248" w:rsidRPr="000C5248" w:rsidRDefault="000C5248" w:rsidP="000C5248">
      <w:pPr>
        <w:ind w:left="851" w:right="902"/>
        <w:jc w:val="both"/>
        <w:rPr>
          <w:rFonts w:ascii="Palatino Linotype" w:hAnsi="Palatino Linotype"/>
          <w:i/>
          <w:sz w:val="22"/>
          <w:szCs w:val="22"/>
          <w:lang w:val="es-MX" w:eastAsia="es-MX"/>
        </w:rPr>
      </w:pPr>
      <w:r w:rsidRPr="000C5248">
        <w:rPr>
          <w:rFonts w:ascii="Palatino Linotype" w:hAnsi="Palatino Linotype"/>
          <w:i/>
          <w:sz w:val="22"/>
          <w:szCs w:val="22"/>
          <w:lang w:val="es-MX" w:eastAsia="es-MX"/>
        </w:rPr>
        <w:t>c)</w:t>
      </w:r>
      <w:r w:rsidRPr="000C5248">
        <w:rPr>
          <w:rFonts w:ascii="Palatino Linotype" w:hAnsi="Palatino Linotype"/>
          <w:i/>
          <w:sz w:val="22"/>
          <w:szCs w:val="22"/>
          <w:lang w:val="es-MX" w:eastAsia="es-MX"/>
        </w:rPr>
        <w:tab/>
        <w:t>Acuerdo que emita el Comité de Transparencia mediante el cual se sustente la declinación de competencia referida en respuesta a la solicitud 00252/ATIZARA/IP/2018.</w:t>
      </w:r>
    </w:p>
    <w:p w:rsidR="000C5248" w:rsidRPr="000C5248" w:rsidRDefault="000C5248" w:rsidP="000C5248">
      <w:pPr>
        <w:ind w:left="851" w:right="902"/>
        <w:jc w:val="both"/>
        <w:rPr>
          <w:rFonts w:ascii="Palatino Linotype" w:hAnsi="Palatino Linotype"/>
          <w:i/>
          <w:sz w:val="22"/>
          <w:szCs w:val="22"/>
          <w:lang w:val="es-MX" w:eastAsia="es-MX"/>
        </w:rPr>
      </w:pPr>
    </w:p>
    <w:p w:rsidR="000C5248" w:rsidRDefault="000C5248" w:rsidP="000C5248">
      <w:pPr>
        <w:ind w:left="851" w:right="902"/>
        <w:jc w:val="both"/>
        <w:rPr>
          <w:rFonts w:ascii="Palatino Linotype" w:hAnsi="Palatino Linotype"/>
          <w:i/>
          <w:sz w:val="22"/>
          <w:szCs w:val="22"/>
          <w:lang w:val="es-MX" w:eastAsia="es-MX"/>
        </w:rPr>
      </w:pPr>
      <w:r w:rsidRPr="000C5248">
        <w:rPr>
          <w:rFonts w:ascii="Palatino Linotype" w:hAnsi="Palatino Linotype"/>
          <w:i/>
          <w:sz w:val="22"/>
          <w:szCs w:val="22"/>
          <w:lang w:val="es-MX"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formularon y se formulen y se ponga a disposición de</w:t>
      </w:r>
      <w:r>
        <w:rPr>
          <w:rFonts w:ascii="Palatino Linotype" w:hAnsi="Palatino Linotype"/>
          <w:i/>
          <w:sz w:val="22"/>
          <w:szCs w:val="22"/>
          <w:lang w:val="es-MX" w:eastAsia="es-MX"/>
        </w:rPr>
        <w:t xml:space="preserve">l Recurrente. </w:t>
      </w:r>
    </w:p>
    <w:p w:rsidR="000C5248" w:rsidRPr="000C5248" w:rsidRDefault="000C5248" w:rsidP="000C5248">
      <w:pPr>
        <w:ind w:left="851" w:right="902"/>
        <w:jc w:val="both"/>
        <w:rPr>
          <w:rFonts w:ascii="Palatino Linotype" w:hAnsi="Palatino Linotype"/>
          <w:i/>
          <w:sz w:val="22"/>
          <w:szCs w:val="22"/>
          <w:lang w:val="es-MX" w:eastAsia="es-MX"/>
        </w:rPr>
      </w:pPr>
    </w:p>
    <w:p w:rsidR="00CC6AAE" w:rsidRDefault="000C5248" w:rsidP="000C5248">
      <w:pPr>
        <w:ind w:left="851" w:right="902"/>
        <w:jc w:val="both"/>
        <w:rPr>
          <w:rFonts w:ascii="Palatino Linotype" w:hAnsi="Palatino Linotype"/>
          <w:i/>
          <w:sz w:val="22"/>
          <w:szCs w:val="22"/>
          <w:lang w:val="es-MX" w:eastAsia="es-MX"/>
        </w:rPr>
      </w:pPr>
      <w:r w:rsidRPr="000C5248">
        <w:rPr>
          <w:rFonts w:ascii="Palatino Linotype" w:hAnsi="Palatino Linotype"/>
          <w:i/>
          <w:sz w:val="22"/>
          <w:szCs w:val="22"/>
          <w:lang w:val="es-MX" w:eastAsia="es-MX"/>
        </w:rPr>
        <w:t>El Sujeto Obligado deberá indicar la fecha, lugar y horario en que debe presentarse el particular para que le sea entregada la información.</w:t>
      </w:r>
    </w:p>
    <w:p w:rsidR="001E429C" w:rsidRDefault="001E429C"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ese sentido, la que suscribe reitera, que si bien coincide en términos generales con el sentido de la resolución en comento, difiero respecto a que </w:t>
      </w:r>
      <w:r w:rsidR="000233D6">
        <w:rPr>
          <w:rFonts w:ascii="Palatino Linotype" w:hAnsi="Palatino Linotype"/>
        </w:rPr>
        <w:t xml:space="preserve">la Ponencia </w:t>
      </w:r>
      <w:proofErr w:type="spellStart"/>
      <w:r w:rsidR="000233D6">
        <w:rPr>
          <w:rFonts w:ascii="Palatino Linotype" w:hAnsi="Palatino Linotype"/>
        </w:rPr>
        <w:t>Resolutora</w:t>
      </w:r>
      <w:proofErr w:type="spellEnd"/>
      <w:r w:rsidR="000233D6">
        <w:rPr>
          <w:rFonts w:ascii="Palatino Linotype" w:hAnsi="Palatino Linotype"/>
        </w:rPr>
        <w:t xml:space="preserve"> no </w:t>
      </w:r>
      <w:r>
        <w:rPr>
          <w:rFonts w:ascii="Palatino Linotype" w:hAnsi="Palatino Linotype"/>
        </w:rPr>
        <w:t>tomara en consideración la</w:t>
      </w:r>
      <w:r w:rsidR="000C5248">
        <w:rPr>
          <w:rFonts w:ascii="Palatino Linotype" w:hAnsi="Palatino Linotype"/>
        </w:rPr>
        <w:t>s</w:t>
      </w:r>
      <w:r>
        <w:rPr>
          <w:rFonts w:ascii="Palatino Linotype" w:hAnsi="Palatino Linotype"/>
        </w:rPr>
        <w:t xml:space="preserve"> modalidad</w:t>
      </w:r>
      <w:r w:rsidR="000C5248">
        <w:rPr>
          <w:rFonts w:ascii="Palatino Linotype" w:hAnsi="Palatino Linotype"/>
        </w:rPr>
        <w:t xml:space="preserve">es </w:t>
      </w:r>
      <w:r>
        <w:rPr>
          <w:rFonts w:ascii="Palatino Linotype" w:hAnsi="Palatino Linotype"/>
        </w:rPr>
        <w:t>de entrega señalada</w:t>
      </w:r>
      <w:r w:rsidR="000C5248">
        <w:rPr>
          <w:rFonts w:ascii="Palatino Linotype" w:hAnsi="Palatino Linotype"/>
        </w:rPr>
        <w:t>s por el</w:t>
      </w:r>
      <w:r>
        <w:rPr>
          <w:rFonts w:ascii="Palatino Linotype" w:hAnsi="Palatino Linotype"/>
        </w:rPr>
        <w:t xml:space="preserve"> solicitante, es decir </w:t>
      </w:r>
      <w:r w:rsidR="000C5248">
        <w:rPr>
          <w:rFonts w:ascii="Palatino Linotype" w:hAnsi="Palatino Linotype"/>
        </w:rPr>
        <w:t>copias simples con costo, correo electrónico y copias certificadas</w:t>
      </w:r>
      <w:r>
        <w:rPr>
          <w:rFonts w:ascii="Palatino Linotype" w:hAnsi="Palatino Linotype"/>
        </w:rPr>
        <w:t>.</w:t>
      </w:r>
    </w:p>
    <w:p w:rsidR="001E429C" w:rsidRDefault="001E429C"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Lo anterior, debido a que </w:t>
      </w:r>
      <w:r w:rsidR="00E43E28">
        <w:rPr>
          <w:rFonts w:ascii="Palatino Linotype" w:hAnsi="Palatino Linotype"/>
        </w:rPr>
        <w:t>respecto a la solicitud de información en comento señal</w:t>
      </w:r>
      <w:r w:rsidR="000233D6">
        <w:rPr>
          <w:rFonts w:ascii="Palatino Linotype" w:hAnsi="Palatino Linotype"/>
        </w:rPr>
        <w:t>ó</w:t>
      </w:r>
      <w:r w:rsidR="00E43E28">
        <w:rPr>
          <w:rFonts w:ascii="Palatino Linotype" w:hAnsi="Palatino Linotype"/>
        </w:rPr>
        <w:t xml:space="preserve"> como modalidad de entrega de la información </w:t>
      </w:r>
      <w:r w:rsidR="006F2131">
        <w:rPr>
          <w:rFonts w:ascii="Palatino Linotype" w:hAnsi="Palatino Linotype"/>
        </w:rPr>
        <w:t xml:space="preserve">en </w:t>
      </w:r>
      <w:r w:rsidR="00E43E28">
        <w:rPr>
          <w:rFonts w:ascii="Palatino Linotype" w:hAnsi="Palatino Linotype"/>
        </w:rPr>
        <w:t>copia</w:t>
      </w:r>
      <w:r w:rsidR="006F2131">
        <w:rPr>
          <w:rFonts w:ascii="Palatino Linotype" w:hAnsi="Palatino Linotype"/>
        </w:rPr>
        <w:t>s</w:t>
      </w:r>
      <w:r w:rsidR="000C5248">
        <w:rPr>
          <w:rFonts w:ascii="Palatino Linotype" w:hAnsi="Palatino Linotype"/>
        </w:rPr>
        <w:t xml:space="preserve"> simples </w:t>
      </w:r>
      <w:r w:rsidR="00E43E28">
        <w:rPr>
          <w:rFonts w:ascii="Palatino Linotype" w:hAnsi="Palatino Linotype"/>
        </w:rPr>
        <w:t>con costo de</w:t>
      </w:r>
      <w:r w:rsidR="000C5248">
        <w:rPr>
          <w:rFonts w:ascii="Palatino Linotype" w:hAnsi="Palatino Linotype"/>
        </w:rPr>
        <w:t xml:space="preserve"> </w:t>
      </w:r>
      <w:r w:rsidR="00E43E28">
        <w:rPr>
          <w:rFonts w:ascii="Palatino Linotype" w:hAnsi="Palatino Linotype"/>
        </w:rPr>
        <w:t>l</w:t>
      </w:r>
      <w:r w:rsidR="000C5248">
        <w:rPr>
          <w:rFonts w:ascii="Palatino Linotype" w:hAnsi="Palatino Linotype"/>
        </w:rPr>
        <w:t>os</w:t>
      </w:r>
      <w:r w:rsidR="00E43E28">
        <w:rPr>
          <w:rFonts w:ascii="Palatino Linotype" w:hAnsi="Palatino Linotype"/>
        </w:rPr>
        <w:t xml:space="preserve"> documento</w:t>
      </w:r>
      <w:r w:rsidR="000C5248">
        <w:rPr>
          <w:rFonts w:ascii="Palatino Linotype" w:hAnsi="Palatino Linotype"/>
        </w:rPr>
        <w:t>s</w:t>
      </w:r>
      <w:r w:rsidR="00E43E28">
        <w:rPr>
          <w:rFonts w:ascii="Palatino Linotype" w:hAnsi="Palatino Linotype"/>
        </w:rPr>
        <w:t xml:space="preserve"> solicitado</w:t>
      </w:r>
      <w:r w:rsidR="000C5248">
        <w:rPr>
          <w:rFonts w:ascii="Palatino Linotype" w:hAnsi="Palatino Linotype"/>
        </w:rPr>
        <w:t>s</w:t>
      </w:r>
      <w:r w:rsidR="00E43E28">
        <w:rPr>
          <w:rFonts w:ascii="Palatino Linotype" w:hAnsi="Palatino Linotype"/>
        </w:rPr>
        <w:t>,</w:t>
      </w:r>
      <w:r w:rsidR="000233D6">
        <w:rPr>
          <w:rFonts w:ascii="Palatino Linotype" w:hAnsi="Palatino Linotype"/>
        </w:rPr>
        <w:t xml:space="preserve"> y</w:t>
      </w:r>
      <w:r w:rsidR="00E43E28">
        <w:rPr>
          <w:rFonts w:ascii="Palatino Linotype" w:hAnsi="Palatino Linotype"/>
        </w:rPr>
        <w:t xml:space="preserve"> si bien en el texto de la solicitud refirió copias certificadas</w:t>
      </w:r>
      <w:r w:rsidR="000C5248">
        <w:rPr>
          <w:rFonts w:ascii="Palatino Linotype" w:hAnsi="Palatino Linotype"/>
        </w:rPr>
        <w:t xml:space="preserve"> y en el correo electrónico señalado</w:t>
      </w:r>
      <w:r w:rsidR="000233D6">
        <w:rPr>
          <w:rFonts w:ascii="Palatino Linotype" w:hAnsi="Palatino Linotype"/>
        </w:rPr>
        <w:t>,</w:t>
      </w:r>
      <w:r w:rsidR="00E43E28">
        <w:rPr>
          <w:rFonts w:ascii="Palatino Linotype" w:hAnsi="Palatino Linotype"/>
        </w:rPr>
        <w:t xml:space="preserve"> en el apartado correspondiente eligió vía </w:t>
      </w:r>
      <w:r w:rsidR="000C5248">
        <w:rPr>
          <w:rFonts w:ascii="Palatino Linotype" w:hAnsi="Palatino Linotype"/>
          <w:b/>
        </w:rPr>
        <w:t>Copias Simples con Costo</w:t>
      </w:r>
      <w:r w:rsidR="00E43E28">
        <w:rPr>
          <w:rFonts w:ascii="Palatino Linotype" w:hAnsi="Palatino Linotype"/>
          <w:b/>
        </w:rPr>
        <w:t xml:space="preserve">, </w:t>
      </w:r>
      <w:r w:rsidR="00E43E28">
        <w:rPr>
          <w:rFonts w:ascii="Palatino Linotype" w:hAnsi="Palatino Linotype"/>
        </w:rPr>
        <w:t xml:space="preserve">tal y como se aprecia en la siguiente imagen: </w:t>
      </w:r>
    </w:p>
    <w:p w:rsidR="000C5248" w:rsidRDefault="000C5248" w:rsidP="000607FC">
      <w:pPr>
        <w:spacing w:before="100" w:beforeAutospacing="1" w:after="100" w:afterAutospacing="1" w:line="360" w:lineRule="auto"/>
        <w:mirrorIndents/>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12120</wp:posOffset>
                </wp:positionV>
                <wp:extent cx="5716988" cy="1948070"/>
                <wp:effectExtent l="0" t="0" r="36195" b="33655"/>
                <wp:wrapNone/>
                <wp:docPr id="7" name="Conector recto 7"/>
                <wp:cNvGraphicFramePr/>
                <a:graphic xmlns:a="http://schemas.openxmlformats.org/drawingml/2006/main">
                  <a:graphicData uri="http://schemas.microsoft.com/office/word/2010/wordprocessingShape">
                    <wps:wsp>
                      <wps:cNvCnPr/>
                      <wps:spPr>
                        <a:xfrm>
                          <a:off x="0" y="0"/>
                          <a:ext cx="5716988" cy="19480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078C2" id="Conector recto 7"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95pt,.95pt" to="849.1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" strokecolor="#5b9bd5 [3204]" strokeweight="1.5pt">
                <v:stroke joinstyle="miter"/>
                <w10:wrap anchorx="margin"/>
              </v:line>
            </w:pict>
          </mc:Fallback>
        </mc:AlternateContent>
      </w:r>
    </w:p>
    <w:p w:rsidR="000C5248" w:rsidRDefault="000C5248" w:rsidP="000607FC">
      <w:pPr>
        <w:spacing w:before="100" w:beforeAutospacing="1" w:after="100" w:afterAutospacing="1" w:line="360" w:lineRule="auto"/>
        <w:mirrorIndents/>
        <w:jc w:val="both"/>
        <w:rPr>
          <w:rFonts w:ascii="Palatino Linotype" w:hAnsi="Palatino Linotype"/>
        </w:rPr>
      </w:pPr>
      <w:r>
        <w:rPr>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1734627</wp:posOffset>
                </wp:positionH>
                <wp:positionV relativeFrom="paragraph">
                  <wp:posOffset>2600628</wp:posOffset>
                </wp:positionV>
                <wp:extent cx="1709530" cy="152897"/>
                <wp:effectExtent l="0" t="0" r="24130" b="19050"/>
                <wp:wrapNone/>
                <wp:docPr id="3" name="Rectángulo 3"/>
                <wp:cNvGraphicFramePr/>
                <a:graphic xmlns:a="http://schemas.openxmlformats.org/drawingml/2006/main">
                  <a:graphicData uri="http://schemas.microsoft.com/office/word/2010/wordprocessingShape">
                    <wps:wsp>
                      <wps:cNvSpPr/>
                      <wps:spPr>
                        <a:xfrm>
                          <a:off x="0" y="0"/>
                          <a:ext cx="1709530" cy="15289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8B578" id="Rectángulo 3" o:spid="_x0000_s1026" style="position:absolute;margin-left:136.6pt;margin-top:204.75pt;width:134.6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" filled="f" strokecolor="red" strokeweight="1.5pt"/>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margin">
                  <wp:posOffset>56902</wp:posOffset>
                </wp:positionH>
                <wp:positionV relativeFrom="paragraph">
                  <wp:posOffset>2075843</wp:posOffset>
                </wp:positionV>
                <wp:extent cx="5661328" cy="187490"/>
                <wp:effectExtent l="0" t="0" r="15875" b="22225"/>
                <wp:wrapNone/>
                <wp:docPr id="2" name="Rectángulo 2"/>
                <wp:cNvGraphicFramePr/>
                <a:graphic xmlns:a="http://schemas.openxmlformats.org/drawingml/2006/main">
                  <a:graphicData uri="http://schemas.microsoft.com/office/word/2010/wordprocessingShape">
                    <wps:wsp>
                      <wps:cNvSpPr/>
                      <wps:spPr>
                        <a:xfrm>
                          <a:off x="0" y="0"/>
                          <a:ext cx="5661328" cy="18749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555F2" id="Rectángulo 2" o:spid="_x0000_s1026" style="position:absolute;margin-left:4.5pt;margin-top:163.45pt;width:445.75pt;height: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" filled="f" strokecolor="red" strokeweight="1.5pt">
                <w10:wrap anchorx="margin"/>
              </v:rect>
            </w:pict>
          </mc:Fallback>
        </mc:AlternateContent>
      </w:r>
      <w:r>
        <w:rPr>
          <w:noProof/>
          <w:lang w:val="es-MX" w:eastAsia="es-MX"/>
        </w:rPr>
        <w:drawing>
          <wp:inline distT="0" distB="0" distL="0" distR="0" wp14:anchorId="50A7F948" wp14:editId="76A074C5">
            <wp:extent cx="5779379" cy="298969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44" t="11470" r="23121" b="29466"/>
                    <a:stretch/>
                  </pic:blipFill>
                  <pic:spPr bwMode="auto">
                    <a:xfrm>
                      <a:off x="0" y="0"/>
                      <a:ext cx="5803713" cy="3002279"/>
                    </a:xfrm>
                    <a:prstGeom prst="rect">
                      <a:avLst/>
                    </a:prstGeom>
                    <a:ln>
                      <a:noFill/>
                    </a:ln>
                    <a:extLst>
                      <a:ext uri="{53640926-AAD7-44D8-BBD7-CCE9431645EC}">
                        <a14:shadowObscured xmlns:a14="http://schemas.microsoft.com/office/drawing/2010/main"/>
                      </a:ext>
                    </a:extLst>
                  </pic:spPr>
                </pic:pic>
              </a:graphicData>
            </a:graphic>
          </wp:inline>
        </w:drawing>
      </w:r>
    </w:p>
    <w:p w:rsidR="00947992" w:rsidRDefault="00C5154F"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t>Así</w:t>
      </w:r>
      <w:r w:rsidR="000C5248">
        <w:rPr>
          <w:rFonts w:ascii="Palatino Linotype" w:hAnsi="Palatino Linotype"/>
        </w:rPr>
        <w:t>, de la imagen se advierte que el</w:t>
      </w:r>
      <w:r>
        <w:rPr>
          <w:rFonts w:ascii="Palatino Linotype" w:hAnsi="Palatino Linotype"/>
        </w:rPr>
        <w:t xml:space="preserve"> solicitante requirió que la información le fuera entregada mediante </w:t>
      </w:r>
      <w:r w:rsidR="000C5248">
        <w:rPr>
          <w:rFonts w:ascii="Palatino Linotype" w:hAnsi="Palatino Linotype"/>
          <w:b/>
        </w:rPr>
        <w:t>Copias Simples con costo</w:t>
      </w:r>
      <w:r w:rsidR="006F78E8">
        <w:rPr>
          <w:rFonts w:ascii="Palatino Linotype" w:hAnsi="Palatino Linotype"/>
          <w:b/>
        </w:rPr>
        <w:t>,</w:t>
      </w:r>
      <w:r w:rsidR="000C5248">
        <w:rPr>
          <w:rFonts w:ascii="Palatino Linotype" w:hAnsi="Palatino Linotype"/>
          <w:b/>
        </w:rPr>
        <w:t xml:space="preserve"> </w:t>
      </w:r>
      <w:r w:rsidR="006F78E8">
        <w:rPr>
          <w:rFonts w:ascii="Palatino Linotype" w:hAnsi="Palatino Linotype"/>
        </w:rPr>
        <w:t>así como</w:t>
      </w:r>
      <w:r>
        <w:rPr>
          <w:rFonts w:ascii="Palatino Linotype" w:hAnsi="Palatino Linotype"/>
        </w:rPr>
        <w:t xml:space="preserve"> en </w:t>
      </w:r>
      <w:r w:rsidR="00C53AA9" w:rsidRPr="00C5154F">
        <w:rPr>
          <w:rFonts w:ascii="Palatino Linotype" w:hAnsi="Palatino Linotype"/>
          <w:b/>
        </w:rPr>
        <w:t>Copias Certificadas</w:t>
      </w:r>
      <w:r w:rsidR="00C53AA9">
        <w:rPr>
          <w:rFonts w:ascii="Palatino Linotype" w:hAnsi="Palatino Linotype"/>
          <w:b/>
        </w:rPr>
        <w:t xml:space="preserve"> </w:t>
      </w:r>
      <w:r w:rsidR="006F78E8">
        <w:rPr>
          <w:rFonts w:ascii="Palatino Linotype" w:hAnsi="Palatino Linotype"/>
          <w:b/>
        </w:rPr>
        <w:t>y Correo Electrónico</w:t>
      </w:r>
      <w:r w:rsidR="000233D6">
        <w:rPr>
          <w:rFonts w:ascii="Palatino Linotype" w:hAnsi="Palatino Linotype"/>
          <w:b/>
        </w:rPr>
        <w:t>;</w:t>
      </w:r>
      <w:r>
        <w:rPr>
          <w:rFonts w:ascii="Palatino Linotype" w:hAnsi="Palatino Linotype"/>
          <w:b/>
        </w:rPr>
        <w:t xml:space="preserve"> </w:t>
      </w:r>
      <w:r>
        <w:rPr>
          <w:rFonts w:ascii="Palatino Linotype" w:hAnsi="Palatino Linotype"/>
        </w:rPr>
        <w:t>por lo que</w:t>
      </w:r>
      <w:r w:rsidR="000233D6">
        <w:rPr>
          <w:rFonts w:ascii="Palatino Linotype" w:hAnsi="Palatino Linotype"/>
        </w:rPr>
        <w:t>,</w:t>
      </w:r>
      <w:r>
        <w:rPr>
          <w:rFonts w:ascii="Palatino Linotype" w:hAnsi="Palatino Linotype"/>
        </w:rPr>
        <w:t xml:space="preserve"> en ese sentido la Ponencia </w:t>
      </w:r>
      <w:proofErr w:type="spellStart"/>
      <w:r>
        <w:rPr>
          <w:rFonts w:ascii="Palatino Linotype" w:hAnsi="Palatino Linotype"/>
        </w:rPr>
        <w:t>Resolutora</w:t>
      </w:r>
      <w:proofErr w:type="spellEnd"/>
      <w:r>
        <w:rPr>
          <w:rFonts w:ascii="Palatino Linotype" w:hAnsi="Palatino Linotype"/>
        </w:rPr>
        <w:t xml:space="preserve"> debió </w:t>
      </w:r>
      <w:r w:rsidR="007949C3">
        <w:rPr>
          <w:rFonts w:ascii="Palatino Linotype" w:hAnsi="Palatino Linotype"/>
        </w:rPr>
        <w:t>pronunciarse</w:t>
      </w:r>
      <w:r>
        <w:rPr>
          <w:rFonts w:ascii="Palatino Linotype" w:hAnsi="Palatino Linotype"/>
        </w:rPr>
        <w:t xml:space="preserve"> tanto en estudio como en reso</w:t>
      </w:r>
      <w:r w:rsidR="006F78E8">
        <w:rPr>
          <w:rFonts w:ascii="Palatino Linotype" w:hAnsi="Palatino Linotype"/>
        </w:rPr>
        <w:t>lutivos que lo solicitado por el</w:t>
      </w:r>
      <w:r>
        <w:rPr>
          <w:rFonts w:ascii="Palatino Linotype" w:hAnsi="Palatino Linotype"/>
        </w:rPr>
        <w:t xml:space="preserve"> particular en relación a la informac</w:t>
      </w:r>
      <w:r w:rsidR="006F78E8">
        <w:rPr>
          <w:rFonts w:ascii="Palatino Linotype" w:hAnsi="Palatino Linotype"/>
        </w:rPr>
        <w:t xml:space="preserve">ión fuera entregada vía SAIMEX, </w:t>
      </w:r>
      <w:r>
        <w:rPr>
          <w:rFonts w:ascii="Palatino Linotype" w:hAnsi="Palatino Linotype"/>
        </w:rPr>
        <w:t xml:space="preserve">copias </w:t>
      </w:r>
      <w:r w:rsidR="007949C3">
        <w:rPr>
          <w:rFonts w:ascii="Palatino Linotype" w:hAnsi="Palatino Linotype"/>
        </w:rPr>
        <w:t xml:space="preserve">simples y </w:t>
      </w:r>
      <w:r>
        <w:rPr>
          <w:rFonts w:ascii="Palatino Linotype" w:hAnsi="Palatino Linotype"/>
        </w:rPr>
        <w:t>certificad</w:t>
      </w:r>
      <w:r w:rsidR="00DE353F">
        <w:rPr>
          <w:rFonts w:ascii="Palatino Linotype" w:hAnsi="Palatino Linotype"/>
        </w:rPr>
        <w:t>as</w:t>
      </w:r>
      <w:r w:rsidR="007949C3">
        <w:rPr>
          <w:rFonts w:ascii="Palatino Linotype" w:hAnsi="Palatino Linotype"/>
        </w:rPr>
        <w:t xml:space="preserve">, así como </w:t>
      </w:r>
      <w:r w:rsidR="006F78E8">
        <w:rPr>
          <w:rFonts w:ascii="Palatino Linotype" w:hAnsi="Palatino Linotype"/>
        </w:rPr>
        <w:t>correo electrónico</w:t>
      </w:r>
      <w:r w:rsidR="00C51CFE" w:rsidRPr="003E78C6">
        <w:rPr>
          <w:rFonts w:ascii="Palatino Linotype" w:hAnsi="Palatino Linotype"/>
        </w:rPr>
        <w:t xml:space="preserve">; </w:t>
      </w:r>
      <w:r w:rsidR="006C49AC">
        <w:rPr>
          <w:rFonts w:ascii="Palatino Linotype" w:hAnsi="Palatino Linotype"/>
        </w:rPr>
        <w:t xml:space="preserve">por lo que, se </w:t>
      </w:r>
      <w:r w:rsidR="000233D6">
        <w:rPr>
          <w:rFonts w:ascii="Palatino Linotype" w:hAnsi="Palatino Linotype"/>
        </w:rPr>
        <w:t xml:space="preserve">debió </w:t>
      </w:r>
      <w:r w:rsidR="006C49AC">
        <w:rPr>
          <w:rFonts w:ascii="Palatino Linotype" w:hAnsi="Palatino Linotype"/>
        </w:rPr>
        <w:t>ordena</w:t>
      </w:r>
      <w:r w:rsidR="000233D6">
        <w:rPr>
          <w:rFonts w:ascii="Palatino Linotype" w:hAnsi="Palatino Linotype"/>
        </w:rPr>
        <w:t>r</w:t>
      </w:r>
      <w:r w:rsidR="006C49AC">
        <w:rPr>
          <w:rFonts w:ascii="Palatino Linotype" w:hAnsi="Palatino Linotype"/>
        </w:rPr>
        <w:t xml:space="preserve"> en </w:t>
      </w:r>
      <w:r w:rsidR="006F78E8">
        <w:rPr>
          <w:rFonts w:ascii="Palatino Linotype" w:hAnsi="Palatino Linotype"/>
        </w:rPr>
        <w:t xml:space="preserve">dichas </w:t>
      </w:r>
      <w:r w:rsidR="006C49AC">
        <w:rPr>
          <w:rFonts w:ascii="Palatino Linotype" w:hAnsi="Palatino Linotype"/>
        </w:rPr>
        <w:t>modalidad</w:t>
      </w:r>
      <w:r w:rsidR="006F2131">
        <w:rPr>
          <w:rFonts w:ascii="Palatino Linotype" w:hAnsi="Palatino Linotype"/>
        </w:rPr>
        <w:t>es</w:t>
      </w:r>
      <w:r w:rsidR="006C49AC">
        <w:rPr>
          <w:rFonts w:ascii="Palatino Linotype" w:hAnsi="Palatino Linotype"/>
        </w:rPr>
        <w:t xml:space="preserve">; </w:t>
      </w:r>
      <w:r w:rsidR="00C51CFE" w:rsidRPr="003E78C6">
        <w:rPr>
          <w:rFonts w:ascii="Palatino Linotype" w:hAnsi="Palatino Linotype"/>
        </w:rPr>
        <w:t>sin embargo,</w:t>
      </w:r>
      <w:r w:rsidR="006C49AC">
        <w:rPr>
          <w:rFonts w:ascii="Palatino Linotype" w:hAnsi="Palatino Linotype"/>
        </w:rPr>
        <w:t xml:space="preserve"> </w:t>
      </w:r>
      <w:r w:rsidR="00DE353F">
        <w:rPr>
          <w:rFonts w:ascii="Palatino Linotype" w:hAnsi="Palatino Linotype"/>
        </w:rPr>
        <w:t>en razón</w:t>
      </w:r>
      <w:r w:rsidR="00947992">
        <w:rPr>
          <w:rFonts w:ascii="Palatino Linotype" w:hAnsi="Palatino Linotype"/>
        </w:rPr>
        <w:t xml:space="preserve"> de ello</w:t>
      </w:r>
      <w:r w:rsidR="00C51CFE">
        <w:rPr>
          <w:rFonts w:ascii="Palatino Linotype" w:hAnsi="Palatino Linotype"/>
        </w:rPr>
        <w:t xml:space="preserve"> requiero hacer la precisión respecto de </w:t>
      </w:r>
      <w:r w:rsidR="00C51CFE" w:rsidRPr="003E78C6">
        <w:rPr>
          <w:rFonts w:ascii="Palatino Linotype" w:hAnsi="Palatino Linotype"/>
        </w:rPr>
        <w:t>la emisión</w:t>
      </w:r>
      <w:r w:rsidR="00C51CFE" w:rsidRPr="003E78C6">
        <w:rPr>
          <w:rFonts w:ascii="Palatino Linotype" w:hAnsi="Palatino Linotype" w:cs="Arial"/>
        </w:rPr>
        <w:t xml:space="preserve"> de copias certificadas, </w:t>
      </w:r>
      <w:r w:rsidR="00C51CFE">
        <w:rPr>
          <w:rFonts w:ascii="Palatino Linotype" w:hAnsi="Palatino Linotype" w:cs="Arial"/>
        </w:rPr>
        <w:t>ya que</w:t>
      </w:r>
      <w:r w:rsidR="00C51CFE" w:rsidRPr="003E78C6">
        <w:rPr>
          <w:rFonts w:ascii="Palatino Linotype" w:hAnsi="Palatino Linotype"/>
        </w:rPr>
        <w:t xml:space="preserve"> a criterio de dicha Ponencia, </w:t>
      </w:r>
      <w:r w:rsidR="000233D6" w:rsidRPr="000233D6">
        <w:rPr>
          <w:rFonts w:ascii="Palatino Linotype" w:hAnsi="Palatino Linotype"/>
          <w:b/>
        </w:rPr>
        <w:t>EL SUJETO OBLIGADO</w:t>
      </w:r>
      <w:r w:rsidR="000233D6">
        <w:rPr>
          <w:rFonts w:ascii="Palatino Linotype" w:hAnsi="Palatino Linotype"/>
        </w:rPr>
        <w:t xml:space="preserve"> realizó</w:t>
      </w:r>
      <w:r w:rsidR="00947992">
        <w:rPr>
          <w:rFonts w:ascii="Palatino Linotype" w:hAnsi="Palatino Linotype"/>
        </w:rPr>
        <w:t xml:space="preserve"> una respuesta inexacta e indebida y en consecuencia negó la misma, </w:t>
      </w:r>
      <w:r w:rsidR="000233D6">
        <w:rPr>
          <w:rFonts w:ascii="Palatino Linotype" w:hAnsi="Palatino Linotype"/>
        </w:rPr>
        <w:t xml:space="preserve">por lo que a su consideración </w:t>
      </w:r>
      <w:r w:rsidR="00947992">
        <w:rPr>
          <w:rFonts w:ascii="Palatino Linotype" w:hAnsi="Palatino Linotype"/>
        </w:rPr>
        <w:t xml:space="preserve">existió una actitud negligente que provocó que la solicitud no fuera atendida en los términos de la ley, por lo que procedía el acceso a la información de </w:t>
      </w:r>
      <w:r w:rsidR="00947992">
        <w:rPr>
          <w:rFonts w:ascii="Palatino Linotype" w:hAnsi="Palatino Linotype"/>
        </w:rPr>
        <w:lastRenderedPageBreak/>
        <w:t>referencia en copias certificadas sin que medie el pago de los derechos correspondientes.</w:t>
      </w:r>
    </w:p>
    <w:p w:rsidR="00947992" w:rsidRDefault="00947992"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t>Ahora bi</w:t>
      </w:r>
      <w:r w:rsidR="000233D6">
        <w:rPr>
          <w:rFonts w:ascii="Palatino Linotype" w:hAnsi="Palatino Linotype"/>
        </w:rPr>
        <w:t>en, es de señalar que como quedó</w:t>
      </w:r>
      <w:r>
        <w:rPr>
          <w:rFonts w:ascii="Palatino Linotype" w:hAnsi="Palatino Linotype"/>
        </w:rPr>
        <w:t xml:space="preserve"> estab</w:t>
      </w:r>
      <w:r w:rsidR="000233D6">
        <w:rPr>
          <w:rFonts w:ascii="Palatino Linotype" w:hAnsi="Palatino Linotype"/>
        </w:rPr>
        <w:t>lecido en el estudio que realizó</w:t>
      </w:r>
      <w:r>
        <w:rPr>
          <w:rFonts w:ascii="Palatino Linotype" w:hAnsi="Palatino Linotype"/>
        </w:rPr>
        <w:t xml:space="preserve"> la Ponencia </w:t>
      </w:r>
      <w:proofErr w:type="spellStart"/>
      <w:r>
        <w:rPr>
          <w:rFonts w:ascii="Palatino Linotype" w:hAnsi="Palatino Linotype"/>
        </w:rPr>
        <w:t>Resolutora</w:t>
      </w:r>
      <w:proofErr w:type="spellEnd"/>
      <w:r>
        <w:rPr>
          <w:rFonts w:ascii="Palatino Linotype" w:hAnsi="Palatino Linotype"/>
        </w:rPr>
        <w:t xml:space="preserve"> </w:t>
      </w:r>
      <w:r>
        <w:rPr>
          <w:rFonts w:ascii="Palatino Linotype" w:hAnsi="Palatino Linotype"/>
          <w:b/>
        </w:rPr>
        <w:t xml:space="preserve">EL SUJETO OBLIGADO </w:t>
      </w:r>
      <w:r>
        <w:rPr>
          <w:rFonts w:ascii="Palatino Linotype" w:hAnsi="Palatino Linotype"/>
        </w:rPr>
        <w:t xml:space="preserve">cuenta con la facultad para haber generado </w:t>
      </w:r>
      <w:r w:rsidR="00E353B7">
        <w:rPr>
          <w:rFonts w:ascii="Palatino Linotype" w:hAnsi="Palatino Linotype"/>
        </w:rPr>
        <w:t xml:space="preserve">parte de </w:t>
      </w:r>
      <w:r>
        <w:rPr>
          <w:rFonts w:ascii="Palatino Linotype" w:hAnsi="Palatino Linotype"/>
        </w:rPr>
        <w:t xml:space="preserve">la información por lo que deberá </w:t>
      </w:r>
      <w:r w:rsidR="004B4CA7">
        <w:rPr>
          <w:rFonts w:ascii="Palatino Linotype" w:hAnsi="Palatino Linotype"/>
        </w:rPr>
        <w:t xml:space="preserve">de hacer </w:t>
      </w:r>
      <w:r>
        <w:rPr>
          <w:rFonts w:ascii="Palatino Linotype" w:hAnsi="Palatino Linotype"/>
        </w:rPr>
        <w:t xml:space="preserve">entrega </w:t>
      </w:r>
      <w:r w:rsidR="004B4CA7">
        <w:rPr>
          <w:rFonts w:ascii="Palatino Linotype" w:hAnsi="Palatino Linotype"/>
        </w:rPr>
        <w:t>de la misma en copias certificadas</w:t>
      </w:r>
      <w:r w:rsidR="000C04E8">
        <w:rPr>
          <w:rFonts w:ascii="Palatino Linotype" w:hAnsi="Palatino Linotype"/>
        </w:rPr>
        <w:t xml:space="preserve">; sin embargo, considero que </w:t>
      </w:r>
      <w:r w:rsidR="004B4CA7">
        <w:rPr>
          <w:rFonts w:ascii="Palatino Linotype" w:hAnsi="Palatino Linotype"/>
        </w:rPr>
        <w:t>para ello debe de dar</w:t>
      </w:r>
      <w:r w:rsidR="000C04E8">
        <w:rPr>
          <w:rFonts w:ascii="Palatino Linotype" w:hAnsi="Palatino Linotype"/>
        </w:rPr>
        <w:t>se</w:t>
      </w:r>
      <w:r w:rsidR="004B4CA7">
        <w:rPr>
          <w:rFonts w:ascii="Palatino Linotype" w:hAnsi="Palatino Linotype"/>
        </w:rPr>
        <w:t xml:space="preserve"> a conocer el procedimiento a efectuar para </w:t>
      </w:r>
      <w:r w:rsidR="000C04E8">
        <w:rPr>
          <w:rFonts w:ascii="Palatino Linotype" w:hAnsi="Palatino Linotype"/>
        </w:rPr>
        <w:t>el pago de derechos;</w:t>
      </w:r>
      <w:r w:rsidR="004B4CA7">
        <w:rPr>
          <w:rFonts w:ascii="Palatino Linotype" w:hAnsi="Palatino Linotype"/>
        </w:rPr>
        <w:t xml:space="preserve"> es decir, debe dar a conocer entre otras el número de fojas que integran los documentos que le serán entregados, ante quien efect</w:t>
      </w:r>
      <w:r w:rsidR="000C04E8">
        <w:rPr>
          <w:rFonts w:ascii="Palatino Linotype" w:hAnsi="Palatino Linotype"/>
        </w:rPr>
        <w:t>uar el</w:t>
      </w:r>
      <w:r w:rsidR="006F2131">
        <w:rPr>
          <w:rFonts w:ascii="Palatino Linotype" w:hAnsi="Palatino Linotype"/>
        </w:rPr>
        <w:t xml:space="preserve"> pago, el costo total, etcétera;</w:t>
      </w:r>
      <w:r w:rsidR="004B4CA7">
        <w:rPr>
          <w:rFonts w:ascii="Palatino Linotype" w:hAnsi="Palatino Linotype"/>
        </w:rPr>
        <w:t xml:space="preserve"> tal y como lo establece el artículo </w:t>
      </w:r>
      <w:r w:rsidR="006F2131">
        <w:rPr>
          <w:rFonts w:ascii="Palatino Linotype" w:hAnsi="Palatino Linotype"/>
        </w:rPr>
        <w:t>148</w:t>
      </w:r>
      <w:r w:rsidR="004B4CA7">
        <w:rPr>
          <w:rFonts w:ascii="Palatino Linotype" w:hAnsi="Palatino Linotype"/>
        </w:rPr>
        <w:t xml:space="preserve"> del Código Financiero del Estado de México y Municipios, que a la letra dice: </w:t>
      </w:r>
    </w:p>
    <w:p w:rsidR="006F2131" w:rsidRDefault="006F2131" w:rsidP="000607FC">
      <w:pPr>
        <w:spacing w:before="100" w:beforeAutospacing="1" w:after="100" w:afterAutospacing="1" w:line="360" w:lineRule="auto"/>
        <w:mirrorIndents/>
        <w:jc w:val="both"/>
        <w:rPr>
          <w:rFonts w:ascii="Palatino Linotype" w:hAnsi="Palatino Linotype"/>
        </w:rPr>
      </w:pPr>
      <w:r>
        <w:rPr>
          <w:rFonts w:ascii="Palatino Linotype" w:hAnsi="Palatino Linotype"/>
          <w:b/>
          <w:i/>
          <w:noProof/>
          <w:lang w:val="es-MX" w:eastAsia="es-MX"/>
        </w:rPr>
        <mc:AlternateContent>
          <mc:Choice Requires="wps">
            <w:drawing>
              <wp:anchor distT="0" distB="0" distL="114300" distR="114300" simplePos="0" relativeHeight="251662336" behindDoc="0" locked="0" layoutInCell="1" allowOverlap="1" wp14:anchorId="093E3E36" wp14:editId="33E55058">
                <wp:simplePos x="0" y="0"/>
                <wp:positionH relativeFrom="page">
                  <wp:posOffset>990600</wp:posOffset>
                </wp:positionH>
                <wp:positionV relativeFrom="paragraph">
                  <wp:posOffset>1536065</wp:posOffset>
                </wp:positionV>
                <wp:extent cx="5715000" cy="428625"/>
                <wp:effectExtent l="19050" t="19050" r="19050" b="28575"/>
                <wp:wrapNone/>
                <wp:docPr id="5" name="Rectángulo redondeado 5"/>
                <wp:cNvGraphicFramePr/>
                <a:graphic xmlns:a="http://schemas.openxmlformats.org/drawingml/2006/main">
                  <a:graphicData uri="http://schemas.microsoft.com/office/word/2010/wordprocessingShape">
                    <wps:wsp>
                      <wps:cNvSpPr/>
                      <wps:spPr>
                        <a:xfrm>
                          <a:off x="0" y="0"/>
                          <a:ext cx="5715000" cy="428625"/>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094A2A" id="Rectángulo redondeado 5" o:spid="_x0000_s1026" style="position:absolute;margin-left:78pt;margin-top:120.95pt;width:450pt;height:33.7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" filled="f" strokecolor="red" strokeweight="3pt">
                <v:stroke joinstyle="miter"/>
                <w10:wrap anchorx="page"/>
              </v:roundrect>
            </w:pict>
          </mc:Fallback>
        </mc:AlternateContent>
      </w:r>
      <w:r>
        <w:rPr>
          <w:noProof/>
          <w:lang w:val="es-MX" w:eastAsia="es-MX"/>
        </w:rPr>
        <w:drawing>
          <wp:inline distT="0" distB="0" distL="0" distR="0" wp14:anchorId="7BB52F30" wp14:editId="7D33888B">
            <wp:extent cx="5762625" cy="31527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615" t="35373" r="30106" b="18437"/>
                    <a:stretch/>
                  </pic:blipFill>
                  <pic:spPr bwMode="auto">
                    <a:xfrm>
                      <a:off x="0" y="0"/>
                      <a:ext cx="5762625" cy="3152775"/>
                    </a:xfrm>
                    <a:prstGeom prst="rect">
                      <a:avLst/>
                    </a:prstGeom>
                    <a:ln>
                      <a:noFill/>
                    </a:ln>
                    <a:extLst>
                      <a:ext uri="{53640926-AAD7-44D8-BBD7-CCE9431645EC}">
                        <a14:shadowObscured xmlns:a14="http://schemas.microsoft.com/office/drawing/2010/main"/>
                      </a:ext>
                    </a:extLst>
                  </pic:spPr>
                </pic:pic>
              </a:graphicData>
            </a:graphic>
          </wp:inline>
        </w:drawing>
      </w:r>
    </w:p>
    <w:p w:rsidR="00947992" w:rsidRDefault="004B4CA7"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lastRenderedPageBreak/>
        <w:t xml:space="preserve">En efecto, dado que el particular requirió la información en copias certificadas, </w:t>
      </w:r>
      <w:r>
        <w:rPr>
          <w:rFonts w:ascii="Palatino Linotype" w:hAnsi="Palatino Linotype"/>
          <w:b/>
        </w:rPr>
        <w:t xml:space="preserve">EL SUJETO OBLIGADO </w:t>
      </w:r>
      <w:r>
        <w:rPr>
          <w:rFonts w:ascii="Palatino Linotype" w:hAnsi="Palatino Linotype"/>
        </w:rPr>
        <w:t xml:space="preserve">debe notificarle el costo total de la reproducción de los documentos solicitados, en términos del artículo 17 y 174 de la Ley de Transparencia Local que dispone que la expedición de documentos, grabaciones y reproducciones se sujetará al pago de los derechos establecidos en la legislación correspondiente, como se aprecia a continuación: </w:t>
      </w:r>
    </w:p>
    <w:p w:rsidR="004B4CA7" w:rsidRPr="00452903" w:rsidRDefault="004B4CA7" w:rsidP="001A224C">
      <w:pPr>
        <w:tabs>
          <w:tab w:val="left" w:pos="851"/>
        </w:tabs>
        <w:ind w:left="851" w:right="901"/>
        <w:jc w:val="both"/>
        <w:rPr>
          <w:rFonts w:ascii="Palatino Linotype" w:hAnsi="Palatino Linotype" w:cs="Arial"/>
          <w:i/>
          <w:color w:val="000000" w:themeColor="text1"/>
          <w:sz w:val="22"/>
          <w:szCs w:val="22"/>
        </w:rPr>
      </w:pPr>
      <w:r w:rsidRPr="001A224C">
        <w:rPr>
          <w:rFonts w:ascii="Palatino Linotype" w:hAnsi="Palatino Linotype" w:cs="Arial"/>
          <w:i/>
          <w:color w:val="000000" w:themeColor="text1"/>
          <w:sz w:val="22"/>
          <w:szCs w:val="22"/>
        </w:rPr>
        <w:t>“</w:t>
      </w:r>
      <w:r w:rsidRPr="00452903">
        <w:rPr>
          <w:rFonts w:ascii="Palatino Linotype" w:hAnsi="Palatino Linotype" w:cs="Arial"/>
          <w:b/>
          <w:i/>
          <w:color w:val="000000" w:themeColor="text1"/>
          <w:sz w:val="22"/>
          <w:szCs w:val="22"/>
        </w:rPr>
        <w:t>Artículo 17.</w:t>
      </w:r>
      <w:r w:rsidRPr="00452903">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452903">
        <w:rPr>
          <w:rFonts w:ascii="Palatino Linotype" w:hAnsi="Palatino Linotype"/>
          <w:i/>
          <w:sz w:val="22"/>
          <w:szCs w:val="22"/>
        </w:rPr>
        <w:t>los</w:t>
      </w:r>
      <w:r w:rsidRPr="00452903">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4B4CA7" w:rsidRPr="00452903" w:rsidRDefault="004B4CA7" w:rsidP="001A224C">
      <w:pPr>
        <w:ind w:left="851" w:right="900"/>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t>Artículo 174.</w:t>
      </w:r>
      <w:r w:rsidRPr="00452903">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452903">
        <w:rPr>
          <w:rFonts w:ascii="Palatino Linotype" w:hAnsi="Palatino Linotype"/>
          <w:i/>
          <w:sz w:val="22"/>
          <w:szCs w:val="22"/>
        </w:rPr>
        <w:t>n</w:t>
      </w:r>
      <w:r w:rsidRPr="00452903">
        <w:rPr>
          <w:rFonts w:ascii="Palatino Linotype" w:hAnsi="Palatino Linotype" w:cs="Arial"/>
          <w:i/>
          <w:color w:val="000000" w:themeColor="text1"/>
          <w:sz w:val="22"/>
          <w:szCs w:val="22"/>
        </w:rPr>
        <w:t xml:space="preserve"> ser superiores a la suma de: </w:t>
      </w:r>
    </w:p>
    <w:p w:rsidR="004B4CA7" w:rsidRPr="00452903" w:rsidRDefault="004B4CA7" w:rsidP="001A224C">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los materiales utilizados en la reproducción de la información; </w:t>
      </w:r>
    </w:p>
    <w:p w:rsidR="004B4CA7" w:rsidRPr="00452903" w:rsidRDefault="004B4CA7" w:rsidP="001A224C">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envío, en su caso; y </w:t>
      </w:r>
    </w:p>
    <w:p w:rsidR="004B4CA7" w:rsidRPr="00D3542E" w:rsidRDefault="004B4CA7" w:rsidP="001A224C">
      <w:pPr>
        <w:pStyle w:val="Prrafodelista"/>
        <w:numPr>
          <w:ilvl w:val="0"/>
          <w:numId w:val="6"/>
        </w:numPr>
        <w:ind w:right="900"/>
        <w:contextualSpacing w:val="0"/>
        <w:jc w:val="both"/>
        <w:rPr>
          <w:rFonts w:ascii="Palatino Linotype" w:hAnsi="Palatino Linotype" w:cs="Arial"/>
          <w:i/>
          <w:color w:val="000000" w:themeColor="text1"/>
          <w:sz w:val="22"/>
          <w:szCs w:val="22"/>
          <w:u w:val="single"/>
        </w:rPr>
      </w:pPr>
      <w:r w:rsidRPr="00D3542E">
        <w:rPr>
          <w:rFonts w:ascii="Palatino Linotype" w:hAnsi="Palatino Linotype" w:cs="Arial"/>
          <w:i/>
          <w:color w:val="000000" w:themeColor="text1"/>
          <w:sz w:val="22"/>
          <w:szCs w:val="22"/>
          <w:u w:val="single"/>
        </w:rPr>
        <w:t xml:space="preserve">El pago de la certificación de los documentos, cuando proceda. </w:t>
      </w:r>
    </w:p>
    <w:p w:rsidR="004B4CA7" w:rsidRPr="00452903" w:rsidRDefault="004B4CA7" w:rsidP="001A224C">
      <w:pPr>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4B4CA7" w:rsidRPr="00452903" w:rsidRDefault="004B4CA7" w:rsidP="001A224C">
      <w:pPr>
        <w:tabs>
          <w:tab w:val="left" w:pos="851"/>
        </w:tabs>
        <w:ind w:left="851" w:right="901"/>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4B4CA7" w:rsidRPr="0024355B" w:rsidRDefault="004B4CA7" w:rsidP="001A224C">
      <w:pPr>
        <w:ind w:left="851" w:right="900"/>
        <w:jc w:val="both"/>
        <w:rPr>
          <w:rFonts w:ascii="Palatino Linotype" w:hAnsi="Palatino Linotype" w:cs="Arial"/>
          <w:b/>
          <w:i/>
          <w:color w:val="000000" w:themeColor="text1"/>
          <w:sz w:val="22"/>
          <w:szCs w:val="22"/>
        </w:rPr>
      </w:pPr>
      <w:r w:rsidRPr="00452903">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1A224C">
        <w:rPr>
          <w:rFonts w:ascii="Palatino Linotype" w:hAnsi="Palatino Linotype" w:cs="Arial"/>
          <w:i/>
          <w:color w:val="000000" w:themeColor="text1"/>
          <w:sz w:val="22"/>
          <w:szCs w:val="22"/>
        </w:rPr>
        <w:t>.”</w:t>
      </w:r>
    </w:p>
    <w:p w:rsidR="004B4CA7" w:rsidRDefault="00564878"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lastRenderedPageBreak/>
        <w:t>En esa tesitura, con la finali</w:t>
      </w:r>
      <w:r w:rsidR="00B76F8A">
        <w:rPr>
          <w:rFonts w:ascii="Palatino Linotype" w:hAnsi="Palatino Linotype"/>
        </w:rPr>
        <w:t>dad de dar certeza jurídica al</w:t>
      </w:r>
      <w:r>
        <w:rPr>
          <w:rFonts w:ascii="Palatino Linotype" w:hAnsi="Palatino Linotype"/>
        </w:rPr>
        <w:t xml:space="preserve"> solicitante, </w:t>
      </w:r>
      <w:r>
        <w:rPr>
          <w:rFonts w:ascii="Palatino Linotype" w:hAnsi="Palatino Linotype"/>
          <w:b/>
        </w:rPr>
        <w:t xml:space="preserve">EL SUJETO OBLIGADO </w:t>
      </w:r>
      <w:r>
        <w:rPr>
          <w:rFonts w:ascii="Palatino Linotype" w:hAnsi="Palatino Linotype"/>
        </w:rPr>
        <w:t xml:space="preserve">debe señalar con precisión: </w:t>
      </w:r>
    </w:p>
    <w:p w:rsidR="00564878" w:rsidRPr="00452903" w:rsidRDefault="00564878" w:rsidP="000607FC">
      <w:pPr>
        <w:spacing w:before="100" w:beforeAutospacing="1" w:after="100" w:afterAutospacing="1"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a)</w:t>
      </w:r>
      <w:r>
        <w:rPr>
          <w:rFonts w:ascii="Palatino Linotype" w:hAnsi="Palatino Linotype" w:cs="Arial"/>
          <w:color w:val="000000" w:themeColor="text1"/>
        </w:rPr>
        <w:t xml:space="preserve"> </w:t>
      </w:r>
      <w:r w:rsidRPr="00452903">
        <w:rPr>
          <w:rFonts w:ascii="Palatino Linotype" w:hAnsi="Palatino Linotype" w:cs="Arial"/>
          <w:color w:val="000000" w:themeColor="text1"/>
        </w:rPr>
        <w:t>El costo unitario,</w:t>
      </w:r>
    </w:p>
    <w:p w:rsidR="00564878" w:rsidRPr="00452903" w:rsidRDefault="00564878" w:rsidP="000607FC">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b) </w:t>
      </w:r>
      <w:r w:rsidRPr="00452903">
        <w:rPr>
          <w:rFonts w:ascii="Palatino Linotype" w:hAnsi="Palatino Linotype" w:cs="Arial"/>
          <w:color w:val="000000" w:themeColor="text1"/>
        </w:rPr>
        <w:t>El costo global,</w:t>
      </w:r>
    </w:p>
    <w:p w:rsidR="00564878" w:rsidRPr="00452903" w:rsidRDefault="00564878" w:rsidP="000607FC">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c) E</w:t>
      </w:r>
      <w:r w:rsidRPr="00452903">
        <w:rPr>
          <w:rFonts w:ascii="Palatino Linotype" w:hAnsi="Palatino Linotype" w:cs="Arial"/>
          <w:color w:val="000000" w:themeColor="text1"/>
        </w:rPr>
        <w:t>l fundamento del cobro y,</w:t>
      </w:r>
    </w:p>
    <w:p w:rsidR="00564878" w:rsidRDefault="00564878" w:rsidP="000607FC">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 </w:t>
      </w:r>
      <w:r w:rsidRPr="00452903">
        <w:rPr>
          <w:rFonts w:ascii="Palatino Linotype" w:hAnsi="Palatino Linotype" w:cs="Arial"/>
          <w:color w:val="000000" w:themeColor="text1"/>
        </w:rPr>
        <w:t xml:space="preserve">El lugar y horario </w:t>
      </w:r>
      <w:r>
        <w:rPr>
          <w:rFonts w:ascii="Palatino Linotype" w:hAnsi="Palatino Linotype" w:cs="Arial"/>
          <w:color w:val="000000" w:themeColor="text1"/>
        </w:rPr>
        <w:t>para efectuar el pago</w:t>
      </w:r>
      <w:r w:rsidRPr="00452903">
        <w:rPr>
          <w:rFonts w:ascii="Palatino Linotype" w:hAnsi="Palatino Linotype" w:cs="Arial"/>
          <w:color w:val="000000" w:themeColor="text1"/>
        </w:rPr>
        <w:t>.</w:t>
      </w:r>
    </w:p>
    <w:p w:rsidR="00564878" w:rsidRDefault="00564878" w:rsidP="000607FC">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Para que una vez cubierto el monto de reproducción, </w:t>
      </w:r>
      <w:r>
        <w:rPr>
          <w:rFonts w:ascii="Palatino Linotype" w:hAnsi="Palatino Linotype"/>
          <w:b/>
        </w:rPr>
        <w:t xml:space="preserve">EL SUJETO OBLIGADO </w:t>
      </w:r>
      <w:r>
        <w:rPr>
          <w:rFonts w:ascii="Palatino Linotype" w:hAnsi="Palatino Linotype"/>
        </w:rPr>
        <w:t xml:space="preserve">entregue las copias certificadas solicitadas por </w:t>
      </w:r>
      <w:r w:rsidR="00B76F8A" w:rsidRPr="00B76F8A">
        <w:rPr>
          <w:rFonts w:ascii="Palatino Linotype" w:hAnsi="Palatino Linotype"/>
          <w:b/>
        </w:rPr>
        <w:t>E</w:t>
      </w:r>
      <w:r w:rsidRPr="00B76F8A">
        <w:rPr>
          <w:rFonts w:ascii="Palatino Linotype" w:hAnsi="Palatino Linotype"/>
          <w:b/>
        </w:rPr>
        <w:t>L</w:t>
      </w:r>
      <w:r>
        <w:rPr>
          <w:rFonts w:ascii="Palatino Linotype" w:hAnsi="Palatino Linotype"/>
          <w:b/>
        </w:rPr>
        <w:t xml:space="preserve"> RECURRENTE</w:t>
      </w:r>
      <w:r w:rsidR="000C04E8">
        <w:rPr>
          <w:rFonts w:ascii="Palatino Linotype" w:hAnsi="Palatino Linotype"/>
          <w:b/>
        </w:rPr>
        <w:t>.</w:t>
      </w:r>
    </w:p>
    <w:p w:rsidR="003D75AD" w:rsidRDefault="003D75AD" w:rsidP="003D75AD">
      <w:pPr>
        <w:spacing w:before="240" w:after="240" w:line="360" w:lineRule="auto"/>
        <w:jc w:val="both"/>
        <w:rPr>
          <w:rFonts w:ascii="Palatino Linotype" w:hAnsi="Palatino Linotype"/>
        </w:rPr>
      </w:pPr>
      <w:r>
        <w:rPr>
          <w:rFonts w:ascii="Palatino Linotype" w:hAnsi="Palatino Linotype"/>
        </w:rPr>
        <w:t>Sirve de apoyo en la fundamentación de lo antes expresado el criterio 6-17 del Instituto Nacional de Acceso a la Información Pública y Protección de Datos Personales que se transcribe a continuación para la claridad de las razones que justifican la actuación de este Órgano Garante.</w:t>
      </w:r>
    </w:p>
    <w:p w:rsidR="003D75AD" w:rsidRDefault="003D75AD" w:rsidP="003D75AD">
      <w:pPr>
        <w:ind w:left="851" w:right="902"/>
        <w:jc w:val="both"/>
        <w:rPr>
          <w:rFonts w:ascii="Palatino Linotype" w:eastAsia="Arial Unicode MS" w:hAnsi="Palatino Linotype" w:cs="Arial"/>
          <w:i/>
          <w:sz w:val="22"/>
        </w:rPr>
      </w:pPr>
      <w:r w:rsidRPr="003D75AD">
        <w:rPr>
          <w:rFonts w:ascii="Palatino Linotype" w:eastAsia="Arial Unicode MS" w:hAnsi="Palatino Linotype" w:cs="Arial"/>
          <w:b/>
          <w:bCs/>
          <w:i/>
          <w:sz w:val="22"/>
        </w:rPr>
        <w:t xml:space="preserve">Copias certificadas, como modalidad de entrega en la Ley Federal de Transparencia y Acceso a la Información Pública corrobora que el documento es una copia fiel del que obra en los archivos del sujeto obligado. </w:t>
      </w:r>
      <w:r w:rsidRPr="003D75AD">
        <w:rPr>
          <w:rFonts w:ascii="Palatino Linotype" w:eastAsia="Arial Unicode MS" w:hAnsi="Palatino Linotype" w:cs="Arial"/>
          <w:bCs/>
          <w:i/>
          <w:sz w:val="22"/>
        </w:rPr>
        <w:t>Los artículos 125, fracción V y 136 de la Ley Federal de Transparencia y Acceso a la Información Pública, prevén que el acceso a la información se dará en la modalidad de entrega elegida por los solicitantes, como lo es, en copia certificada</w:t>
      </w:r>
      <w:r w:rsidRPr="003D75AD">
        <w:rPr>
          <w:rFonts w:ascii="Palatino Linotype" w:eastAsia="Arial Unicode MS" w:hAnsi="Palatino Linotype" w:cs="Arial"/>
          <w:i/>
          <w:sz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w:t>
      </w:r>
      <w:r w:rsidRPr="003D75AD">
        <w:rPr>
          <w:rFonts w:ascii="Palatino Linotype" w:eastAsia="Arial Unicode MS" w:hAnsi="Palatino Linotype" w:cs="Arial"/>
          <w:i/>
          <w:sz w:val="22"/>
        </w:rPr>
        <w:lastRenderedPageBreak/>
        <w:t xml:space="preserve">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505C70" w:rsidRPr="003D75AD" w:rsidRDefault="00505C70" w:rsidP="003D75AD">
      <w:pPr>
        <w:ind w:left="851" w:right="902"/>
        <w:jc w:val="both"/>
        <w:rPr>
          <w:rFonts w:ascii="Palatino Linotype" w:eastAsia="Arial Unicode MS" w:hAnsi="Palatino Linotype" w:cs="Arial"/>
          <w:i/>
          <w:sz w:val="22"/>
        </w:rPr>
      </w:pPr>
    </w:p>
    <w:p w:rsidR="003D75AD" w:rsidRDefault="003D75AD" w:rsidP="003D75AD">
      <w:pPr>
        <w:ind w:left="851" w:right="902"/>
        <w:jc w:val="both"/>
        <w:rPr>
          <w:rFonts w:ascii="Palatino Linotype" w:eastAsia="Arial Unicode MS" w:hAnsi="Palatino Linotype" w:cs="Arial"/>
          <w:b/>
          <w:i/>
          <w:sz w:val="22"/>
        </w:rPr>
      </w:pPr>
      <w:r w:rsidRPr="003D75AD">
        <w:rPr>
          <w:rFonts w:ascii="Palatino Linotype" w:eastAsia="Arial Unicode MS" w:hAnsi="Palatino Linotype" w:cs="Arial"/>
          <w:b/>
          <w:i/>
          <w:sz w:val="22"/>
        </w:rPr>
        <w:t>Resoluciones:</w:t>
      </w:r>
    </w:p>
    <w:p w:rsidR="00505C70" w:rsidRPr="003D75AD" w:rsidRDefault="00505C70" w:rsidP="003D75AD">
      <w:pPr>
        <w:ind w:left="851" w:right="902"/>
        <w:jc w:val="both"/>
        <w:rPr>
          <w:rFonts w:ascii="Palatino Linotype" w:eastAsia="Arial Unicode MS" w:hAnsi="Palatino Linotype" w:cs="Arial"/>
          <w:b/>
          <w:i/>
          <w:sz w:val="22"/>
        </w:rPr>
      </w:pPr>
    </w:p>
    <w:p w:rsidR="003D75AD" w:rsidRPr="003D75AD" w:rsidRDefault="003D75AD" w:rsidP="003D75AD">
      <w:pPr>
        <w:pStyle w:val="Prrafodelista"/>
        <w:numPr>
          <w:ilvl w:val="0"/>
          <w:numId w:val="7"/>
        </w:numPr>
        <w:ind w:left="851" w:right="902" w:hanging="357"/>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1291/16.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Partido Encuentro Social</w:t>
      </w:r>
      <w:r w:rsidRPr="003D75AD">
        <w:rPr>
          <w:rFonts w:ascii="Palatino Linotype" w:eastAsia="Arial Unicode MS" w:hAnsi="Palatino Linotype" w:cs="Arial"/>
          <w:i/>
          <w:sz w:val="22"/>
        </w:rPr>
        <w:t>. 07 de septiembre de 2016. Por unanimidad. Comisionado Ponente Oscar Mauricio Guerra Ford.</w:t>
      </w:r>
    </w:p>
    <w:p w:rsidR="003D75AD" w:rsidRPr="003D75AD" w:rsidRDefault="003D75AD" w:rsidP="003D75AD">
      <w:pPr>
        <w:pStyle w:val="Prrafodelista"/>
        <w:numPr>
          <w:ilvl w:val="0"/>
          <w:numId w:val="7"/>
        </w:numPr>
        <w:ind w:left="851" w:right="902"/>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1541/16.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Secretaría de Agricultura, Ganadería, Desarrollo Rural, Pesca y Alimentación. 14</w:t>
      </w:r>
      <w:r w:rsidRPr="003D75AD">
        <w:rPr>
          <w:rFonts w:ascii="Palatino Linotype" w:eastAsia="Arial Unicode MS" w:hAnsi="Palatino Linotype" w:cs="Arial"/>
          <w:i/>
          <w:sz w:val="22"/>
        </w:rPr>
        <w:t xml:space="preserve"> de septiembre de 2016. Por unanimidad. Comisionado Ponente Francisco Javier Acuña Llamas.</w:t>
      </w:r>
      <w:r w:rsidRPr="003D75AD">
        <w:rPr>
          <w:rFonts w:ascii="Palatino Linotype" w:eastAsia="Arial Unicode MS" w:hAnsi="Palatino Linotype" w:cs="Arial"/>
          <w:b/>
          <w:i/>
          <w:sz w:val="22"/>
        </w:rPr>
        <w:t xml:space="preserve"> </w:t>
      </w:r>
    </w:p>
    <w:p w:rsidR="003D75AD" w:rsidRDefault="003D75AD" w:rsidP="003D75AD">
      <w:pPr>
        <w:ind w:left="851" w:right="902"/>
        <w:mirrorIndents/>
        <w:jc w:val="both"/>
        <w:rPr>
          <w:rFonts w:ascii="Palatino Linotype" w:hAnsi="Palatino Linotype"/>
        </w:rPr>
      </w:pPr>
      <w:r w:rsidRPr="003D75AD">
        <w:rPr>
          <w:rFonts w:ascii="Palatino Linotype" w:eastAsia="Arial Unicode MS" w:hAnsi="Palatino Linotype" w:cs="Arial"/>
          <w:b/>
          <w:i/>
          <w:sz w:val="22"/>
        </w:rPr>
        <w:t xml:space="preserve">RRA 1657/16. </w:t>
      </w:r>
      <w:r w:rsidRPr="003D75AD">
        <w:rPr>
          <w:rFonts w:ascii="Palatino Linotype" w:eastAsia="Arial Unicode MS" w:hAnsi="Palatino Linotype" w:cs="Arial"/>
          <w:i/>
          <w:sz w:val="22"/>
        </w:rPr>
        <w:t xml:space="preserve">Universidad Nacional Autónoma de México. 05 de octubre de 2016. Por unanimidad. Comisionado Ponente </w:t>
      </w:r>
      <w:proofErr w:type="spellStart"/>
      <w:r w:rsidRPr="003D75AD">
        <w:rPr>
          <w:rFonts w:ascii="Palatino Linotype" w:hAnsi="Palatino Linotype"/>
          <w:i/>
          <w:sz w:val="22"/>
        </w:rPr>
        <w:t>Rosendoevgueni</w:t>
      </w:r>
      <w:proofErr w:type="spellEnd"/>
      <w:r w:rsidRPr="003D75AD">
        <w:rPr>
          <w:rFonts w:ascii="Palatino Linotype" w:hAnsi="Palatino Linotype"/>
          <w:i/>
          <w:sz w:val="22"/>
        </w:rPr>
        <w:t xml:space="preserve"> Monterrey </w:t>
      </w:r>
      <w:proofErr w:type="spellStart"/>
      <w:r w:rsidRPr="003D75AD">
        <w:rPr>
          <w:rFonts w:ascii="Palatino Linotype" w:hAnsi="Palatino Linotype"/>
          <w:i/>
          <w:sz w:val="22"/>
        </w:rPr>
        <w:t>Chepov</w:t>
      </w:r>
      <w:proofErr w:type="spellEnd"/>
      <w:r w:rsidRPr="003D75AD">
        <w:rPr>
          <w:rFonts w:ascii="Palatino Linotype" w:eastAsia="Arial Unicode MS" w:hAnsi="Palatino Linotype" w:cs="Arial"/>
          <w:i/>
          <w:sz w:val="22"/>
        </w:rPr>
        <w:t>.</w:t>
      </w:r>
    </w:p>
    <w:p w:rsidR="00443A78" w:rsidRDefault="003D75AD" w:rsidP="000607FC">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330772">
        <w:rPr>
          <w:rFonts w:ascii="Palatino Linotype" w:hAnsi="Palatino Linotype"/>
        </w:rPr>
        <w:t>En ese sentido, las copias certificadas a que se r</w:t>
      </w:r>
      <w:r>
        <w:rPr>
          <w:rFonts w:ascii="Palatino Linotype" w:hAnsi="Palatino Linotype"/>
        </w:rPr>
        <w:t>efiere la Ley de la materia,</w:t>
      </w:r>
      <w:r w:rsidRPr="00330772">
        <w:rPr>
          <w:rFonts w:ascii="Palatino Linotype" w:hAnsi="Palatino Linotype"/>
        </w:rPr>
        <w:t xml:space="preserve"> únicamente implican que un documento obra en los archivos de la dependencia o entidad y que la copia reproducida es idéntica a aquel documento que se localiza en los archivos del </w:t>
      </w:r>
      <w:r w:rsidR="006F2131" w:rsidRPr="00443A78">
        <w:rPr>
          <w:rFonts w:ascii="Palatino Linotype" w:hAnsi="Palatino Linotype"/>
          <w:b/>
        </w:rPr>
        <w:t>SUJETO OBLIGADO</w:t>
      </w:r>
      <w:r w:rsidR="00443A78">
        <w:rPr>
          <w:rFonts w:ascii="Palatino Linotype" w:hAnsi="Palatino Linotype"/>
        </w:rPr>
        <w:t xml:space="preserve">. </w:t>
      </w:r>
    </w:p>
    <w:p w:rsidR="00C51CFE" w:rsidRDefault="00C51CFE" w:rsidP="000607FC">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ese contexto, la que suscribe emite </w:t>
      </w:r>
      <w:r>
        <w:rPr>
          <w:rFonts w:ascii="Palatino Linotype" w:hAnsi="Palatino Linotype"/>
          <w:b/>
        </w:rPr>
        <w:t xml:space="preserve">VOTO PARTICULAR </w:t>
      </w:r>
      <w:r>
        <w:rPr>
          <w:rFonts w:ascii="Palatino Linotype" w:hAnsi="Palatino Linotype"/>
        </w:rPr>
        <w:t>pues se reitera que</w:t>
      </w:r>
      <w:r w:rsidR="00505C70">
        <w:rPr>
          <w:rFonts w:ascii="Palatino Linotype" w:hAnsi="Palatino Linotype"/>
        </w:rPr>
        <w:t xml:space="preserve"> respecto de</w:t>
      </w:r>
      <w:r w:rsidRPr="003E78C6">
        <w:rPr>
          <w:rFonts w:ascii="Palatino Linotype" w:hAnsi="Palatino Linotype"/>
        </w:rPr>
        <w:t xml:space="preserve">, la </w:t>
      </w:r>
      <w:r w:rsidR="000607FC">
        <w:rPr>
          <w:rFonts w:ascii="Palatino Linotype" w:hAnsi="Palatino Linotype"/>
        </w:rPr>
        <w:t xml:space="preserve">información de la que se ordena </w:t>
      </w:r>
      <w:r w:rsidR="004A70BD">
        <w:rPr>
          <w:rFonts w:ascii="Palatino Linotype" w:hAnsi="Palatino Linotype"/>
        </w:rPr>
        <w:t>la</w:t>
      </w:r>
      <w:r w:rsidR="000607FC">
        <w:rPr>
          <w:rFonts w:ascii="Palatino Linotype" w:hAnsi="Palatino Linotype"/>
        </w:rPr>
        <w:t xml:space="preserve"> entrega,</w:t>
      </w:r>
      <w:r w:rsidR="004A70BD">
        <w:rPr>
          <w:rFonts w:ascii="Palatino Linotype" w:hAnsi="Palatino Linotype"/>
        </w:rPr>
        <w:t xml:space="preserve"> la Ponencia </w:t>
      </w:r>
      <w:proofErr w:type="spellStart"/>
      <w:r w:rsidR="004A70BD">
        <w:rPr>
          <w:rFonts w:ascii="Palatino Linotype" w:hAnsi="Palatino Linotype"/>
        </w:rPr>
        <w:t>Resolutora</w:t>
      </w:r>
      <w:proofErr w:type="spellEnd"/>
      <w:r w:rsidR="004A70BD">
        <w:rPr>
          <w:rFonts w:ascii="Palatino Linotype" w:hAnsi="Palatino Linotype"/>
        </w:rPr>
        <w:t xml:space="preserve"> debió atender la</w:t>
      </w:r>
      <w:r w:rsidR="00505C70">
        <w:rPr>
          <w:rFonts w:ascii="Palatino Linotype" w:hAnsi="Palatino Linotype"/>
        </w:rPr>
        <w:t>s</w:t>
      </w:r>
      <w:r w:rsidR="004A70BD">
        <w:rPr>
          <w:rFonts w:ascii="Palatino Linotype" w:hAnsi="Palatino Linotype"/>
        </w:rPr>
        <w:t xml:space="preserve"> modalidad</w:t>
      </w:r>
      <w:r w:rsidR="00505C70">
        <w:rPr>
          <w:rFonts w:ascii="Palatino Linotype" w:hAnsi="Palatino Linotype"/>
        </w:rPr>
        <w:t>es</w:t>
      </w:r>
      <w:r w:rsidR="004A70BD">
        <w:rPr>
          <w:rFonts w:ascii="Palatino Linotype" w:hAnsi="Palatino Linotype"/>
        </w:rPr>
        <w:t xml:space="preserve"> elegida</w:t>
      </w:r>
      <w:r w:rsidR="00505C70">
        <w:rPr>
          <w:rFonts w:ascii="Palatino Linotype" w:hAnsi="Palatino Linotype"/>
        </w:rPr>
        <w:t>s</w:t>
      </w:r>
      <w:r w:rsidR="004A70BD">
        <w:rPr>
          <w:rFonts w:ascii="Palatino Linotype" w:hAnsi="Palatino Linotype"/>
        </w:rPr>
        <w:t xml:space="preserve"> por </w:t>
      </w:r>
      <w:r w:rsidR="00B76F8A">
        <w:rPr>
          <w:rFonts w:ascii="Palatino Linotype" w:hAnsi="Palatino Linotype"/>
        </w:rPr>
        <w:t>e</w:t>
      </w:r>
      <w:r w:rsidR="004A70BD">
        <w:rPr>
          <w:rFonts w:ascii="Palatino Linotype" w:hAnsi="Palatino Linotype"/>
        </w:rPr>
        <w:t xml:space="preserve">l particular bajo los principios de exhaustividad y congruencia así como el previsto en el artículo 9, fracción VI de la Ley de Transparencia y Acceso a la Información Pública del Estado de México y Municipios ordenando la entrega </w:t>
      </w:r>
      <w:r w:rsidR="000607FC">
        <w:rPr>
          <w:rFonts w:ascii="Palatino Linotype" w:hAnsi="Palatino Linotype"/>
        </w:rPr>
        <w:t>a través de</w:t>
      </w:r>
      <w:r w:rsidR="004A70BD">
        <w:rPr>
          <w:rFonts w:ascii="Palatino Linotype" w:hAnsi="Palatino Linotype"/>
        </w:rPr>
        <w:t>l</w:t>
      </w:r>
      <w:r w:rsidR="00B76F8A">
        <w:rPr>
          <w:rFonts w:ascii="Palatino Linotype" w:hAnsi="Palatino Linotype"/>
        </w:rPr>
        <w:t xml:space="preserve"> SAIMEX,</w:t>
      </w:r>
      <w:r w:rsidR="000607FC">
        <w:rPr>
          <w:rFonts w:ascii="Palatino Linotype" w:hAnsi="Palatino Linotype"/>
        </w:rPr>
        <w:t xml:space="preserve"> Copia</w:t>
      </w:r>
      <w:r w:rsidR="004A70BD">
        <w:rPr>
          <w:rFonts w:ascii="Palatino Linotype" w:hAnsi="Palatino Linotype"/>
        </w:rPr>
        <w:t>s</w:t>
      </w:r>
      <w:r w:rsidR="000607FC">
        <w:rPr>
          <w:rFonts w:ascii="Palatino Linotype" w:hAnsi="Palatino Linotype"/>
        </w:rPr>
        <w:t xml:space="preserve"> </w:t>
      </w:r>
      <w:r w:rsidR="00505C70">
        <w:rPr>
          <w:rFonts w:ascii="Palatino Linotype" w:hAnsi="Palatino Linotype"/>
        </w:rPr>
        <w:t xml:space="preserve">Simples y </w:t>
      </w:r>
      <w:r w:rsidR="000607FC">
        <w:rPr>
          <w:rFonts w:ascii="Palatino Linotype" w:hAnsi="Palatino Linotype"/>
        </w:rPr>
        <w:t xml:space="preserve">Certificadas </w:t>
      </w:r>
      <w:r w:rsidR="00443A78">
        <w:rPr>
          <w:rFonts w:ascii="Palatino Linotype" w:hAnsi="Palatino Linotype"/>
        </w:rPr>
        <w:t>con costo</w:t>
      </w:r>
      <w:r w:rsidR="00B76F8A">
        <w:rPr>
          <w:rFonts w:ascii="Palatino Linotype" w:hAnsi="Palatino Linotype"/>
        </w:rPr>
        <w:t xml:space="preserve"> </w:t>
      </w:r>
      <w:r w:rsidR="00505C70">
        <w:rPr>
          <w:rFonts w:ascii="Palatino Linotype" w:hAnsi="Palatino Linotype"/>
        </w:rPr>
        <w:t xml:space="preserve">así </w:t>
      </w:r>
      <w:r w:rsidR="00505C70">
        <w:rPr>
          <w:rFonts w:ascii="Palatino Linotype" w:hAnsi="Palatino Linotype"/>
        </w:rPr>
        <w:lastRenderedPageBreak/>
        <w:t xml:space="preserve">como </w:t>
      </w:r>
      <w:r w:rsidR="00B76F8A">
        <w:rPr>
          <w:rFonts w:ascii="Palatino Linotype" w:hAnsi="Palatino Linotype"/>
        </w:rPr>
        <w:t>vía Correo Electrónico</w:t>
      </w:r>
      <w:r w:rsidR="00443A78">
        <w:rPr>
          <w:rFonts w:ascii="Palatino Linotype" w:hAnsi="Palatino Linotype"/>
        </w:rPr>
        <w:t>, esto en los tér</w:t>
      </w:r>
      <w:r w:rsidR="00505C70">
        <w:rPr>
          <w:rFonts w:ascii="Palatino Linotype" w:hAnsi="Palatino Linotype"/>
        </w:rPr>
        <w:t xml:space="preserve">minos previstos con antelación, a fin de garantizar el derecho de acceso a la información pública accionado por el particular. </w:t>
      </w:r>
    </w:p>
    <w:p w:rsidR="00505C70" w:rsidRDefault="00505C70" w:rsidP="000607FC">
      <w:pPr>
        <w:widowControl w:val="0"/>
        <w:autoSpaceDE w:val="0"/>
        <w:autoSpaceDN w:val="0"/>
        <w:adjustRightInd w:val="0"/>
        <w:spacing w:before="100" w:beforeAutospacing="1" w:after="100" w:afterAutospacing="1" w:line="360" w:lineRule="auto"/>
        <w:mirrorIndents/>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C51CFE" w:rsidRPr="003E78C6" w:rsidTr="006255AC">
        <w:trPr>
          <w:trHeight w:val="4677"/>
          <w:jc w:val="center"/>
        </w:trPr>
        <w:tc>
          <w:tcPr>
            <w:tcW w:w="4393" w:type="dxa"/>
          </w:tcPr>
          <w:p w:rsidR="001A224C" w:rsidRDefault="001A224C"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6255AC" w:rsidRDefault="006255AC" w:rsidP="001A224C">
            <w:pPr>
              <w:jc w:val="center"/>
              <w:rPr>
                <w:rFonts w:ascii="Palatino Linotype" w:hAnsi="Palatino Linotype" w:cs="Arial"/>
                <w:b/>
              </w:rPr>
            </w:pPr>
          </w:p>
          <w:p w:rsidR="006255AC" w:rsidRDefault="006255AC" w:rsidP="001A224C">
            <w:pPr>
              <w:jc w:val="center"/>
              <w:rPr>
                <w:rFonts w:ascii="Palatino Linotype" w:hAnsi="Palatino Linotype" w:cs="Arial"/>
                <w:b/>
              </w:rPr>
            </w:pPr>
          </w:p>
          <w:p w:rsidR="00505C70" w:rsidRDefault="00505C70" w:rsidP="001A224C">
            <w:pPr>
              <w:jc w:val="center"/>
              <w:rPr>
                <w:rFonts w:ascii="Palatino Linotype" w:hAnsi="Palatino Linotype" w:cs="Arial"/>
                <w:b/>
              </w:rPr>
            </w:pPr>
          </w:p>
          <w:p w:rsidR="00C51CFE" w:rsidRPr="003E78C6" w:rsidRDefault="00C51CFE" w:rsidP="001A224C">
            <w:pPr>
              <w:jc w:val="center"/>
              <w:rPr>
                <w:rFonts w:ascii="Palatino Linotype" w:hAnsi="Palatino Linotype" w:cs="Arial"/>
                <w:b/>
              </w:rPr>
            </w:pPr>
            <w:r w:rsidRPr="003E78C6">
              <w:rPr>
                <w:rFonts w:ascii="Palatino Linotype" w:hAnsi="Palatino Linotype" w:cs="Arial"/>
                <w:b/>
              </w:rPr>
              <w:t>EVA ABAID YAPUR</w:t>
            </w:r>
          </w:p>
          <w:p w:rsidR="00C51CFE" w:rsidRDefault="00C51CFE" w:rsidP="006255AC">
            <w:pPr>
              <w:jc w:val="center"/>
              <w:rPr>
                <w:rFonts w:ascii="Palatino Linotype" w:hAnsi="Palatino Linotype" w:cs="Arial"/>
                <w:b/>
              </w:rPr>
            </w:pPr>
            <w:r w:rsidRPr="003E78C6">
              <w:rPr>
                <w:rFonts w:ascii="Palatino Linotype" w:hAnsi="Palatino Linotype" w:cs="Arial"/>
                <w:b/>
              </w:rPr>
              <w:t>COMISIONADA</w:t>
            </w:r>
          </w:p>
          <w:p w:rsidR="00C3621C" w:rsidRPr="003E78C6" w:rsidRDefault="00C3621C" w:rsidP="006255AC">
            <w:pPr>
              <w:jc w:val="center"/>
              <w:rPr>
                <w:rFonts w:ascii="Palatino Linotype" w:hAnsi="Palatino Linotype" w:cs="Arial"/>
              </w:rPr>
            </w:pPr>
            <w:r>
              <w:rPr>
                <w:rFonts w:ascii="Palatino Linotype" w:hAnsi="Palatino Linotype"/>
                <w:b/>
              </w:rPr>
              <w:t>(RÚBRICA)</w:t>
            </w:r>
          </w:p>
        </w:tc>
      </w:tr>
    </w:tbl>
    <w:p w:rsidR="00353D78" w:rsidRDefault="00353D78" w:rsidP="001A224C">
      <w:pPr>
        <w:mirrorIndents/>
        <w:jc w:val="both"/>
        <w:rPr>
          <w:rFonts w:ascii="Palatino Linotype" w:eastAsia="Calibri" w:hAnsi="Palatino Linotype" w:cs="Arial"/>
          <w:color w:val="000000" w:themeColor="text1"/>
          <w:sz w:val="20"/>
          <w:szCs w:val="20"/>
        </w:rPr>
      </w:pPr>
    </w:p>
    <w:p w:rsidR="00505C70" w:rsidRDefault="00505C70" w:rsidP="001A224C">
      <w:pPr>
        <w:mirrorIndents/>
        <w:jc w:val="both"/>
        <w:rPr>
          <w:rFonts w:ascii="Palatino Linotype" w:eastAsia="Calibri" w:hAnsi="Palatino Linotype" w:cs="Arial"/>
          <w:color w:val="000000" w:themeColor="text1"/>
          <w:sz w:val="20"/>
          <w:szCs w:val="20"/>
        </w:rPr>
      </w:pPr>
    </w:p>
    <w:p w:rsidR="00505C70" w:rsidRDefault="00505C70" w:rsidP="001A224C">
      <w:pPr>
        <w:mirrorIndents/>
        <w:jc w:val="both"/>
        <w:rPr>
          <w:rFonts w:ascii="Palatino Linotype" w:eastAsia="Calibri" w:hAnsi="Palatino Linotype" w:cs="Arial"/>
          <w:color w:val="000000" w:themeColor="text1"/>
          <w:sz w:val="20"/>
          <w:szCs w:val="20"/>
        </w:rPr>
      </w:pPr>
    </w:p>
    <w:p w:rsidR="00505C70" w:rsidRDefault="00505C70" w:rsidP="001A224C">
      <w:pPr>
        <w:mirrorIndents/>
        <w:jc w:val="both"/>
        <w:rPr>
          <w:rFonts w:ascii="Palatino Linotype" w:eastAsia="Calibri" w:hAnsi="Palatino Linotype" w:cs="Arial"/>
          <w:color w:val="000000" w:themeColor="text1"/>
          <w:sz w:val="20"/>
          <w:szCs w:val="20"/>
        </w:rPr>
      </w:pPr>
    </w:p>
    <w:p w:rsidR="00505C70" w:rsidRDefault="00505C70" w:rsidP="001A224C">
      <w:pPr>
        <w:mirrorIndents/>
        <w:jc w:val="both"/>
        <w:rPr>
          <w:rFonts w:ascii="Palatino Linotype" w:eastAsia="Calibri" w:hAnsi="Palatino Linotype" w:cs="Arial"/>
          <w:color w:val="000000" w:themeColor="text1"/>
          <w:sz w:val="20"/>
          <w:szCs w:val="20"/>
        </w:rPr>
      </w:pPr>
    </w:p>
    <w:p w:rsidR="00505C70" w:rsidRDefault="00505C70" w:rsidP="001A224C">
      <w:pPr>
        <w:mirrorIndents/>
        <w:jc w:val="both"/>
        <w:rPr>
          <w:rFonts w:ascii="Palatino Linotype" w:eastAsia="Calibri" w:hAnsi="Palatino Linotype" w:cs="Arial"/>
          <w:color w:val="000000" w:themeColor="text1"/>
          <w:sz w:val="20"/>
          <w:szCs w:val="20"/>
        </w:rPr>
      </w:pPr>
    </w:p>
    <w:p w:rsidR="00505C70" w:rsidRDefault="00505C70" w:rsidP="001A224C">
      <w:pPr>
        <w:mirrorIndents/>
        <w:jc w:val="both"/>
        <w:rPr>
          <w:rFonts w:ascii="Palatino Linotype" w:eastAsia="Calibri" w:hAnsi="Palatino Linotype" w:cs="Arial"/>
          <w:color w:val="000000" w:themeColor="text1"/>
          <w:sz w:val="20"/>
          <w:szCs w:val="20"/>
        </w:rPr>
      </w:pPr>
    </w:p>
    <w:p w:rsidR="00C51CFE" w:rsidRDefault="00C51CFE" w:rsidP="001A224C">
      <w:pPr>
        <w:mirrorIndents/>
        <w:jc w:val="both"/>
        <w:rPr>
          <w:rFonts w:ascii="Palatino Linotype" w:eastAsia="Calibri" w:hAnsi="Palatino Linotype" w:cs="Arial"/>
          <w:color w:val="000000" w:themeColor="text1"/>
          <w:sz w:val="20"/>
          <w:szCs w:val="20"/>
        </w:rPr>
      </w:pPr>
      <w:bookmarkStart w:id="0" w:name="_GoBack"/>
      <w:bookmarkEnd w:id="0"/>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 xml:space="preserve">a resolución del </w:t>
      </w:r>
      <w:r w:rsidRPr="001F2C7E">
        <w:rPr>
          <w:rFonts w:ascii="Palatino Linotype" w:eastAsia="Calibri" w:hAnsi="Palatino Linotype" w:cs="Arial"/>
          <w:color w:val="000000" w:themeColor="text1"/>
          <w:sz w:val="20"/>
          <w:szCs w:val="20"/>
        </w:rPr>
        <w:t xml:space="preserve">recurso de revisión </w:t>
      </w:r>
      <w:r w:rsidR="00B76F8A">
        <w:rPr>
          <w:rFonts w:ascii="Palatino Linotype" w:hAnsi="Palatino Linotype" w:cs="Arial"/>
          <w:sz w:val="20"/>
          <w:szCs w:val="20"/>
        </w:rPr>
        <w:t>03638</w:t>
      </w:r>
      <w:r w:rsidR="00F3670B" w:rsidRPr="0027625B">
        <w:rPr>
          <w:rFonts w:ascii="Palatino Linotype" w:hAnsi="Palatino Linotype" w:cs="Arial"/>
          <w:sz w:val="20"/>
          <w:szCs w:val="20"/>
        </w:rPr>
        <w:t>/INFOEM/IP/RR/201</w:t>
      </w:r>
      <w:r w:rsidR="0027625B" w:rsidRPr="0027625B">
        <w:rPr>
          <w:rFonts w:ascii="Palatino Linotype" w:hAnsi="Palatino Linotype" w:cs="Arial"/>
          <w:sz w:val="20"/>
          <w:szCs w:val="20"/>
        </w:rPr>
        <w:t>8</w:t>
      </w:r>
      <w:r w:rsidRPr="001F2C7E">
        <w:rPr>
          <w:rFonts w:ascii="Palatino Linotype" w:eastAsia="Calibri" w:hAnsi="Palatino Linotype" w:cs="Arial"/>
          <w:color w:val="000000" w:themeColor="text1"/>
          <w:spacing w:val="-20"/>
          <w:sz w:val="20"/>
          <w:szCs w:val="20"/>
        </w:rPr>
        <w:t>,</w:t>
      </w:r>
      <w:r w:rsidR="00505C70">
        <w:rPr>
          <w:rFonts w:ascii="Palatino Linotype" w:eastAsia="Calibri" w:hAnsi="Palatino Linotype" w:cs="Arial"/>
          <w:color w:val="000000" w:themeColor="text1"/>
          <w:sz w:val="20"/>
          <w:szCs w:val="20"/>
        </w:rPr>
        <w:t xml:space="preserve"> aprobado</w:t>
      </w:r>
      <w:r w:rsidRPr="001F2C7E">
        <w:rPr>
          <w:rFonts w:ascii="Palatino Linotype" w:eastAsia="Calibri" w:hAnsi="Palatino Linotype" w:cs="Arial"/>
          <w:color w:val="000000" w:themeColor="text1"/>
          <w:sz w:val="20"/>
          <w:szCs w:val="20"/>
        </w:rPr>
        <w:t xml:space="preserve"> el </w:t>
      </w:r>
      <w:r w:rsidR="00B76F8A">
        <w:rPr>
          <w:rFonts w:ascii="Palatino Linotype" w:eastAsia="Calibri" w:hAnsi="Palatino Linotype" w:cs="Arial"/>
          <w:color w:val="000000" w:themeColor="text1"/>
          <w:sz w:val="20"/>
          <w:szCs w:val="20"/>
        </w:rPr>
        <w:t>veintiocho de noviembre</w:t>
      </w:r>
      <w:r w:rsidR="0027625B">
        <w:rPr>
          <w:rFonts w:ascii="Palatino Linotype" w:eastAsia="Calibri" w:hAnsi="Palatino Linotype" w:cs="Arial"/>
          <w:color w:val="000000" w:themeColor="text1"/>
          <w:sz w:val="20"/>
          <w:szCs w:val="20"/>
        </w:rPr>
        <w:t xml:space="preserve"> de dos mil dieciocho</w:t>
      </w:r>
      <w:r w:rsidRPr="001F2C7E">
        <w:rPr>
          <w:rFonts w:ascii="Palatino Linotype" w:eastAsia="Calibri" w:hAnsi="Palatino Linotype" w:cs="Arial"/>
          <w:color w:val="000000" w:themeColor="text1"/>
          <w:sz w:val="20"/>
          <w:szCs w:val="20"/>
        </w:rPr>
        <w:t>.</w:t>
      </w:r>
    </w:p>
    <w:p w:rsidR="00505C70" w:rsidRPr="00505C70" w:rsidRDefault="00505C70" w:rsidP="001A224C">
      <w:pPr>
        <w:mirrorIndents/>
        <w:jc w:val="both"/>
        <w:rPr>
          <w:rFonts w:ascii="Palatino Linotype" w:eastAsia="Calibri" w:hAnsi="Palatino Linotype" w:cs="Arial"/>
          <w:color w:val="000000" w:themeColor="text1"/>
          <w:sz w:val="8"/>
          <w:szCs w:val="20"/>
        </w:rPr>
      </w:pPr>
    </w:p>
    <w:p w:rsidR="00C23B43" w:rsidRDefault="0027625B" w:rsidP="001A224C">
      <w:pPr>
        <w:mirrorIndents/>
        <w:jc w:val="both"/>
      </w:pPr>
      <w:r>
        <w:rPr>
          <w:rFonts w:ascii="Palatino Linotype" w:eastAsia="Calibri" w:hAnsi="Palatino Linotype" w:cs="Arial"/>
          <w:color w:val="000000" w:themeColor="text1"/>
          <w:sz w:val="20"/>
          <w:szCs w:val="20"/>
        </w:rPr>
        <w:t>YSM/IAHA</w:t>
      </w:r>
    </w:p>
    <w:sectPr w:rsidR="00C23B43" w:rsidSect="009B21E8">
      <w:headerReference w:type="even" r:id="rId10"/>
      <w:headerReference w:type="default" r:id="rId11"/>
      <w:footerReference w:type="default" r:id="rId12"/>
      <w:headerReference w:type="first" r:id="rId13"/>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70C" w:rsidRDefault="0098570C" w:rsidP="00026BF3">
      <w:r>
        <w:separator/>
      </w:r>
    </w:p>
  </w:endnote>
  <w:endnote w:type="continuationSeparator" w:id="0">
    <w:p w:rsidR="0098570C" w:rsidRDefault="0098570C"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C3621C" w:rsidP="003056D9">
    <w:pPr>
      <w:pStyle w:val="Piedepgina"/>
      <w:tabs>
        <w:tab w:val="clear" w:pos="4252"/>
        <w:tab w:val="left" w:pos="4228"/>
      </w:tabs>
      <w:rPr>
        <w:rFonts w:ascii="Palatino Linotype" w:hAnsi="Palatino Linotype" w:cs="Arial"/>
        <w:b/>
        <w:bCs/>
        <w:sz w:val="20"/>
        <w:szCs w:val="20"/>
      </w:rPr>
    </w:pPr>
  </w:p>
  <w:p w:rsidR="00505C70" w:rsidRDefault="00505C70" w:rsidP="003056D9">
    <w:pPr>
      <w:pStyle w:val="Piedepgina"/>
      <w:tabs>
        <w:tab w:val="clear" w:pos="4252"/>
        <w:tab w:val="left" w:pos="4228"/>
      </w:tabs>
      <w:rPr>
        <w:rFonts w:ascii="Palatino Linotype" w:hAnsi="Palatino Linotype" w:cs="Arial"/>
        <w:b/>
        <w:bCs/>
        <w:sz w:val="20"/>
        <w:szCs w:val="20"/>
      </w:rPr>
    </w:pPr>
  </w:p>
  <w:p w:rsidR="009B21E8" w:rsidRDefault="00C3621C" w:rsidP="003056D9">
    <w:pPr>
      <w:pStyle w:val="Piedepgina"/>
      <w:tabs>
        <w:tab w:val="clear" w:pos="4252"/>
        <w:tab w:val="left" w:pos="4228"/>
      </w:tabs>
      <w:rPr>
        <w:rFonts w:ascii="Palatino Linotype" w:hAnsi="Palatino Linotype" w:cs="Arial"/>
        <w:b/>
        <w:bCs/>
        <w:sz w:val="20"/>
        <w:szCs w:val="20"/>
      </w:rPr>
    </w:pPr>
  </w:p>
  <w:p w:rsidR="003056D9" w:rsidRDefault="00C3621C" w:rsidP="003056D9">
    <w:pPr>
      <w:pStyle w:val="Piedepgina"/>
      <w:tabs>
        <w:tab w:val="clear" w:pos="4252"/>
        <w:tab w:val="left" w:pos="4228"/>
      </w:tabs>
      <w:rPr>
        <w:rFonts w:ascii="Palatino Linotype" w:hAnsi="Palatino Linotype" w:cs="Arial"/>
        <w:b/>
        <w:bCs/>
        <w:sz w:val="20"/>
        <w:szCs w:val="20"/>
      </w:rPr>
    </w:pPr>
  </w:p>
  <w:p w:rsidR="003056D9" w:rsidRDefault="00C3621C" w:rsidP="003056D9">
    <w:pPr>
      <w:pStyle w:val="Piedepgina"/>
      <w:tabs>
        <w:tab w:val="clear" w:pos="4252"/>
        <w:tab w:val="left" w:pos="4228"/>
      </w:tabs>
      <w:rPr>
        <w:rFonts w:ascii="Palatino Linotype" w:hAnsi="Palatino Linotype" w:cs="Arial"/>
        <w:b/>
        <w:bCs/>
        <w:sz w:val="20"/>
        <w:szCs w:val="20"/>
      </w:rPr>
    </w:pPr>
  </w:p>
  <w:p w:rsidR="00455CB3" w:rsidRDefault="00C3621C"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3621C">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3621C">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6F30F8" w:rsidRDefault="00C3621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70C" w:rsidRDefault="0098570C" w:rsidP="00026BF3">
      <w:r>
        <w:separator/>
      </w:r>
    </w:p>
  </w:footnote>
  <w:footnote w:type="continuationSeparator" w:id="0">
    <w:p w:rsidR="0098570C" w:rsidRDefault="0098570C"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362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C3621C" w:rsidP="0034309A">
    <w:pPr>
      <w:pStyle w:val="Encabezado"/>
      <w:tabs>
        <w:tab w:val="clear" w:pos="4252"/>
        <w:tab w:val="clear" w:pos="8504"/>
        <w:tab w:val="left" w:pos="2326"/>
      </w:tabs>
      <w:jc w:val="right"/>
    </w:pPr>
  </w:p>
  <w:p w:rsidR="0034309A" w:rsidRDefault="00333A12"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26BF3" w:rsidRDefault="00333A12" w:rsidP="00026BF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D50B4">
      <w:rPr>
        <w:rFonts w:ascii="Palatino Linotype" w:hAnsi="Palatino Linotype" w:cs="Arial"/>
        <w:sz w:val="20"/>
        <w:szCs w:val="20"/>
      </w:rPr>
      <w:t>03638</w:t>
    </w:r>
    <w:r w:rsidR="00026BF3">
      <w:rPr>
        <w:rFonts w:ascii="Palatino Linotype" w:hAnsi="Palatino Linotype" w:cs="Arial"/>
        <w:sz w:val="20"/>
        <w:szCs w:val="20"/>
      </w:rPr>
      <w:t>/INFOEM/IP</w:t>
    </w:r>
    <w:r w:rsidR="00026BF3" w:rsidRPr="00706042">
      <w:rPr>
        <w:rFonts w:ascii="Palatino Linotype" w:hAnsi="Palatino Linotype" w:cs="Arial"/>
        <w:sz w:val="20"/>
        <w:szCs w:val="20"/>
      </w:rPr>
      <w:t>/RR/201</w:t>
    </w:r>
    <w:r w:rsidR="004A33ED">
      <w:rPr>
        <w:rFonts w:ascii="Palatino Linotype" w:hAnsi="Palatino Linotype" w:cs="Arial"/>
        <w:sz w:val="20"/>
        <w:szCs w:val="20"/>
      </w:rPr>
      <w:t>8</w:t>
    </w:r>
  </w:p>
  <w:p w:rsidR="00634485" w:rsidRDefault="00C3621C" w:rsidP="00026BF3">
    <w:pPr>
      <w:pStyle w:val="Encabezado"/>
      <w:tabs>
        <w:tab w:val="clear" w:pos="4252"/>
        <w:tab w:val="clear" w:pos="8504"/>
        <w:tab w:val="left" w:pos="2326"/>
      </w:tabs>
      <w:jc w:val="right"/>
      <w:rPr>
        <w:rFonts w:ascii="Palatino Linotype" w:hAnsi="Palatino Linotype" w:cs="Arial"/>
        <w:sz w:val="20"/>
        <w:szCs w:val="20"/>
      </w:rPr>
    </w:pPr>
  </w:p>
  <w:p w:rsidR="00353D78" w:rsidRDefault="00C3621C"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9.1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362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D3DAB"/>
    <w:multiLevelType w:val="hybridMultilevel"/>
    <w:tmpl w:val="5CE6795A"/>
    <w:lvl w:ilvl="0" w:tplc="F7784CF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33D6"/>
    <w:rsid w:val="00026BF3"/>
    <w:rsid w:val="00044162"/>
    <w:rsid w:val="000607FC"/>
    <w:rsid w:val="00094F5A"/>
    <w:rsid w:val="000C04E8"/>
    <w:rsid w:val="000C5248"/>
    <w:rsid w:val="000D52F5"/>
    <w:rsid w:val="0019202C"/>
    <w:rsid w:val="001A224C"/>
    <w:rsid w:val="001E429C"/>
    <w:rsid w:val="001F2C7E"/>
    <w:rsid w:val="0027625B"/>
    <w:rsid w:val="00333A12"/>
    <w:rsid w:val="00353D78"/>
    <w:rsid w:val="00396B7A"/>
    <w:rsid w:val="003D75AD"/>
    <w:rsid w:val="003F21A9"/>
    <w:rsid w:val="00443A78"/>
    <w:rsid w:val="00470E6A"/>
    <w:rsid w:val="00497EC3"/>
    <w:rsid w:val="004A33ED"/>
    <w:rsid w:val="004A70BD"/>
    <w:rsid w:val="004B4CA7"/>
    <w:rsid w:val="00505C70"/>
    <w:rsid w:val="00564878"/>
    <w:rsid w:val="005B0B48"/>
    <w:rsid w:val="006255AC"/>
    <w:rsid w:val="0069535B"/>
    <w:rsid w:val="006C49AC"/>
    <w:rsid w:val="006F2131"/>
    <w:rsid w:val="006F78E8"/>
    <w:rsid w:val="007949C3"/>
    <w:rsid w:val="007F443A"/>
    <w:rsid w:val="008D50B4"/>
    <w:rsid w:val="00947992"/>
    <w:rsid w:val="00982B5B"/>
    <w:rsid w:val="0098570C"/>
    <w:rsid w:val="009C4ACD"/>
    <w:rsid w:val="00B246AD"/>
    <w:rsid w:val="00B341DD"/>
    <w:rsid w:val="00B76F8A"/>
    <w:rsid w:val="00B94271"/>
    <w:rsid w:val="00C23B43"/>
    <w:rsid w:val="00C3621C"/>
    <w:rsid w:val="00C5154F"/>
    <w:rsid w:val="00C51CFE"/>
    <w:rsid w:val="00C53AA9"/>
    <w:rsid w:val="00C9714C"/>
    <w:rsid w:val="00CC6AAE"/>
    <w:rsid w:val="00D1413E"/>
    <w:rsid w:val="00DE353F"/>
    <w:rsid w:val="00E31356"/>
    <w:rsid w:val="00E353B7"/>
    <w:rsid w:val="00E43E28"/>
    <w:rsid w:val="00E548FB"/>
    <w:rsid w:val="00F3670B"/>
    <w:rsid w:val="00FF0B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2267-CA8C-4576-BA95-1A62BDCD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2057</Words>
  <Characters>11319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2018-07-20T15:48:00Z</cp:lastPrinted>
  <dcterms:created xsi:type="dcterms:W3CDTF">2018-12-03T15:29:00Z</dcterms:created>
  <dcterms:modified xsi:type="dcterms:W3CDTF">2019-01-11T02:53:00Z</dcterms:modified>
</cp:coreProperties>
</file>